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7,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 w:val="0"/>
          <w:sz w:val="20"/>
        </w:rPr>
        <w:t>The Exos offer delivers liquidity, debt relief, and equity upside — without requiring any additional capital call from current SSLC shareholders: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1224"/>
        <w:gridCol w:w="1224"/>
        <w:gridCol w:w="1224"/>
        <w:gridCol w:w="2664"/>
      </w:tblGrid>
      <w:tr>
        <w:tc>
          <w:tcPr>
            <w:tcW w:type="dxa" w:w="3024"/>
            <w:shd w:val="clear" w:color="auto" w:fill="1F3A68"/>
          </w:tcPr>
          <w:p>
            <w:r/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Low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Base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7"/>
              </w:rPr>
              <w:t>When / Notes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Cash at close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$2,510K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$2,510K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Close ~Q1 FY27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SSLC transaction costs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$60K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$60K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Close; seller-side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Credit for Exos's existing stake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$790K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$790K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Close (non-cash credit)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SSLC debts paid at face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$500K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$500K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Close; ~$500K TBV in QB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Working-capital bridge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$500K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Close; only if it remains after prepaid removal</w:t>
            </w:r>
          </w:p>
        </w:tc>
      </w:tr>
      <w:tr>
        <w:tc>
          <w:tcPr>
            <w:tcW w:type="dxa" w:w="3024"/>
            <w:shd w:val="clear" w:color="auto" w:fill="F3F4F6"/>
          </w:tcPr>
          <w:p>
            <w:r/>
            <w:r>
              <w:rPr>
                <w:b/>
                <w:sz w:val="17"/>
              </w:rPr>
              <w:t>Subtotal: funding at close</w:t>
            </w:r>
          </w:p>
        </w:tc>
        <w:tc>
          <w:tcPr>
            <w:tcW w:type="dxa" w:w="1224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7"/>
              </w:rPr>
              <w:t>$3,860K</w:t>
            </w:r>
          </w:p>
        </w:tc>
        <w:tc>
          <w:tcPr>
            <w:tcW w:type="dxa" w:w="1224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7"/>
              </w:rPr>
              <w:t>$4,360K</w:t>
            </w:r>
          </w:p>
        </w:tc>
        <w:tc>
          <w:tcPr>
            <w:tcW w:type="dxa" w:w="1224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7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7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Tank earn-out (3 yrs, capped)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$750K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$900K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FY27–FY29; 5%/yr; cap $300K/yr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Exos stock earn-out at listing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$1,000K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$1,875K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$3,000K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Post-RTO ~FY28; 0.5% / 0.75% / 1.0% FD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/>
            <w:r>
              <w:rPr>
                <w:b/>
                <w:sz w:val="17"/>
              </w:rPr>
              <w:t>TOTAL OFFER VALUE (5-yr)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7"/>
              </w:rPr>
              <w:t>$4,860K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7"/>
              </w:rPr>
              <w:t>$6,985K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7"/>
              </w:rPr>
              <w:t>$8,260K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7"/>
              </w:rPr>
              <w:t>FY27–FY31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/>
            <w:r>
              <w:rPr>
                <w:i/>
                <w:color w:val="6B7280"/>
                <w:sz w:val="17"/>
              </w:rPr>
              <w:t>Memo: Exos stock if held to FY31</w:t>
            </w:r>
            <w:r>
              <w:br/>
            </w:r>
            <w:r>
              <w:rPr>
                <w:i/>
                <w:color w:val="6B7280"/>
                <w:sz w:val="17"/>
              </w:rPr>
              <w:t>(not additive to total above)</w:t>
            </w:r>
          </w:p>
        </w:tc>
        <w:tc>
          <w:tcPr>
            <w:tcW w:type="dxa" w:w="1224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7"/>
              </w:rPr>
              <w:t>$5.7M</w:t>
            </w:r>
          </w:p>
        </w:tc>
        <w:tc>
          <w:tcPr>
            <w:tcW w:type="dxa" w:w="1224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7"/>
              </w:rPr>
              <w:t>$8.5M</w:t>
            </w:r>
          </w:p>
        </w:tc>
        <w:tc>
          <w:tcPr>
            <w:tcW w:type="dxa" w:w="1224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7"/>
              </w:rPr>
              <w:t>$11.4M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7"/>
              </w:rPr>
              <w:t>16× EV/EBITDA; ~30% dilution;</w:t>
            </w:r>
            <w:r>
              <w:br/>
            </w:r>
            <w:r>
              <w:rPr>
                <w:i/>
                <w:color w:val="6B7280"/>
                <w:sz w:val="17"/>
              </w:rPr>
              <w:t>mgmt assumption — not a guarantee</w:t>
            </w:r>
          </w:p>
        </w:tc>
      </w:tr>
    </w:tbl>
    <w:p>
      <w:pPr>
        <w:spacing w:after="60" w:before="0"/>
      </w:pP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additional capital calls  </w:t>
      </w:r>
      <w:r>
        <w:t>Once closed, SSLC's standalone cash burn stops entirely.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IM program continuity  </w:t>
      </w:r>
      <w:r>
        <w:t>Exos-SSLC continues the Intuitive Machines contract with no delivery interruption.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2.  Why the Growth Trajectory Requires Exos Capital</w:t>
      </w:r>
    </w:p>
    <w:p>
      <w:pPr>
        <w:spacing w:after="60" w:before="0"/>
      </w:pPr>
      <w:r>
        <w:rPr>
          <w:b w:val="0"/>
          <w:i w:val="0"/>
          <w:sz w:val="20"/>
        </w:rPr>
        <w:t>The bottleneck is not the technology or the IM demand — it is working capital.  SSLC's most recent quarter (FY27 Q1) came in at $713K in revenue.  Hitting $5M for FY27 requires averaging $1.43M per quarter in Q2–Q4 — exactly 2.0× that pace — starting immediately.  That doubling is not achievable on SSLC's current $198K cash balance.</w:t>
      </w:r>
    </w:p>
    <w:p>
      <w:pPr>
        <w:spacing w:after="40" w:before="60"/>
      </w:pPr>
      <w:r>
        <w:rPr>
          <w:b/>
          <w:i w:val="0"/>
          <w:sz w:val="20"/>
        </w:rPr>
        <w:t>Standalone constraints (SSLC's own numbers):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position  </w:t>
      </w:r>
      <w:r>
        <w:t>$198K at October 2, 2026 — roughly one month of operating burn.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Working capital gap  </w:t>
      </w:r>
      <w:r>
        <w:t>$300K–$700K needed to maintain delivery commitments and service new IM orders — before SSLC can ramp to the $5M/year run rate.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Operating history  </w:t>
      </w:r>
      <w:r>
        <w:t>FY26 operating loss: −$416K. No self-funding path to production scale.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He-tank rework  </w:t>
      </w:r>
      <w:r>
        <w:t>Rev3 GHe tank 4,400 psi proof issue unresolved (MC #3056). Remediation cost ~$175K to COPV ($300K gap). Resolves cleanly as intercompany under Exos.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capex capacity  </w:t>
      </w:r>
      <w:r>
        <w:t>Production-scale equipment and headcount additions are not fundable from SSLC's cash position. Growth is capped at current run-rate without outside capital.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The With-vs-Without comparison, year-by-year CAGR figures, and cumulative revenue gap are in the model spreadsheet: EXOS_SSLC_OptionB_Acquisition_Model_2026-10-07.xlsx, sheet 'With vs Without Exos Capital'.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3.  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Stacked chart below: funding delivered at close + earn-out forward potential. Base scenario shown; earn-out range (low/high) is in the model.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1"/>
        <w:gridCol w:w="2015"/>
        <w:gridCol w:w="2592"/>
      </w:tblGrid>
      <w:tr>
        <w:tc>
          <w:tcPr>
            <w:tcW w:type="dxa" w:w="331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Amount / Range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Cash at close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~Q1 FY27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SSLC closing costs (Seller)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Exos stake credit (non-cash)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(credit)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$790,000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Debt relief (est., TBV)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WC bridge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$500,000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Earn-out — IM tanks (3 yr)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FY27–FY29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Up to $900,000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Earn-out — Exos stock (RTO)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Post-RTO ~FY28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$1.0M–$3.0M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TOTAL (low / mid / high)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$5.8M / $7.0M / $8.3M</w:t>
            </w:r>
          </w:p>
        </w:tc>
      </w:tr>
    </w:tbl>
    <w:p>
      <w:pPr>
        <w:spacing w:after="60" w:before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65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|  Full model: EXOS_SSLC_OptionB_Acquisition_Model_2026-10-07.xlsx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4.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 (non-exclusive → exclusive upon Exos financing agreement)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$3,360,000 ($2.51M cash + $60K costs + $790K Exos stake credit)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while financing works in good faith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Disinterested directors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Jon Quinn abstains from SSLC board vote; sends as Exos CEO (Cal. Corp. Code §310)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Fairness opinion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Eqvista engaged 8/14/2026; agreement still unsigned (held ~1 month)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2026-10-07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