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EXOS AEROSPACE — FINANCIAL MODEL &amp; PROJECTIONS</w:t>
      </w:r>
    </w:p>
    <w:p>
      <w:pPr>
        <w:pStyle w:val="Heading2"/>
      </w:pPr>
      <w:r>
        <w:t>May 2026 (Rev. May 29, 2026) | Private &amp; Confidential</w:t>
      </w:r>
    </w:p>
    <w:p>
      <w:pPr>
        <w:pStyle w:val="IntenseQuote"/>
      </w:pPr>
      <w:r>
        <w:t>**Historical Performance:** Auditable actuals (2022-2025) are available in the investor data room. The projections below are built on demonstrated 100%+ YoY revenue growth and EBITDA-positive operations as of FY2025.</w:t>
      </w:r>
    </w:p>
    <w:p>
      <w:pPr>
        <w:pStyle w:val="Heading2"/>
      </w:pPr>
      <w:r>
        <w:t>CONTRACTED REVENUE &amp; ACCOUNTS RECEIVABLE — AS OF MAY 29, 2026</w:t>
      </w:r>
    </w:p>
    <w:p>
      <w:pPr>
        <w:pStyle w:val="Heading3"/>
      </w:pPr>
      <w:r>
        <w:t>entX Launch Services Agreement (OPP-007 / Project Lazarus)</w:t>
      </w:r>
    </w:p>
    <w:p>
      <w:r/>
      <w:r>
        <w:rPr>
          <w:b/>
        </w:rPr>
        <w:t>Contract status:</w:t>
      </w:r>
      <w:r>
        <w:t xml:space="preserve"> LSA executed. entX Limited signed a Launch Services Agreement for RHU payload launch from Spaceport America, Q1 2027.</w:t>
      </w:r>
    </w:p>
    <w:p>
      <w:r/>
      <w:r>
        <w:rPr>
          <w:b/>
        </w:rPr>
        <w:t>Total contract value:</w:t>
      </w:r>
      <w:r>
        <w:t xml:space="preserve"> $840,000</w:t>
      </w:r>
    </w:p>
    <w:p>
      <w:r/>
      <w:r>
        <w:rPr>
          <w:b/>
        </w:rPr>
        <w:t>Revenue schedule (contracted milestones):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Initial Deposit (Invoice #0067)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Billed 05/22/2026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 A/R — due 05/26/2026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Phase 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$328,000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E/O June 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Remaining milestones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$430,000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LSA schedule through Q1 2027 launch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**$840,000**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r/>
      <w:r>
        <w:rPr>
          <w:b/>
        </w:rPr>
        <w:t>Margin analysis: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Single Launch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Two-Payload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entX contract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$840,000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$840,000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Walk-away cost (Neil Milburn analysis, May 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~$1,320,000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~$1,320,000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Second payload 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~$800,000+ (est.)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**Net margin**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**-$480,000**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**+$320,000**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**Margin 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**-57%**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**+20%**</w:t>
            </w:r>
          </w:p>
        </w:tc>
      </w:tr>
    </w:tbl>
    <w:p>
      <w:r/>
      <w:r>
        <w:rPr>
          <w:b/>
        </w:rPr>
        <w:t>Critical note:</w:t>
      </w:r>
      <w:r>
        <w:t xml:space="preserve"> The single-launch entX contract is margin-negative. Profitability requires securing a second payload on the Q1 2027 manifest. This is a stated BD priority — targets include ASGSR researchers, Montana Q1 payload, and Narravity HEX demo.</w:t>
      </w:r>
    </w:p>
    <w:p>
      <w:r/>
      <w:r>
        <w:rPr>
          <w:b/>
        </w:rPr>
        <w:t>BLK3.1 cost structure:</w:t>
      </w:r>
      <w:r>
        <w:t xml:space="preserve"> Vehicle built from existing BLK3 + HVRR modules. HVRR carries burn rate next 3 months; new engineer + AI&amp;T added ~July 1; BLK3.1 carries last 6 months + launch campaign. Mission cost (Spaceport America): $109.7K single launch / $69.9K for 2-launch program over 7 days.</w:t>
      </w:r>
    </w:p>
    <w:p>
      <w:pPr>
        <w:pStyle w:val="Heading3"/>
      </w:pPr>
      <w:r>
        <w:t>Current Accounts Receivable (per A/R Aging Report, May 26,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Invoice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#0067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entX Limited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05/26/2026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#0068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Scorpius Space Launch 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06/01/2026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CLIN0002-4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Air Force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$113,869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06/21/2026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**Total A/R**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**$197,369**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>
      <w:r/>
      <w:r>
        <w:rPr>
          <w:b/>
        </w:rPr>
        <w:t>All A/R current (collectible within 30 days):</w:t>
      </w:r>
      <w:r>
        <w:t xml:space="preserve"> $197,369</w:t>
      </w:r>
    </w:p>
    <w:p>
      <w:pPr>
        <w:pStyle w:val="Heading3"/>
      </w:pPr>
      <w:r>
        <w:t>YTD 2026 Revenue Recognized (GL through May 26,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Services Rendered (SBIR / USAF)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~$480,782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 Air Force CLINs (Jan-May)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Scorpius engineering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~$154,000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Hewson and Associates (Scorpius sub-entity)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Tank manufacturing (Sarah Beard/Scorpius)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$150,128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Payload sales (entX deposit)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Other sales (Scorpius booth)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#0068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**YTD Revenue**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**~$868,410**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FORWARD PROJECTIONS — BASE CASE (Starting July 2026)</w:t>
      </w:r>
    </w:p>
    <w:p>
      <w:pPr>
        <w:pStyle w:val="Heading3"/>
      </w:pPr>
      <w:r>
        <w:t>Assumptions (Stated Explicitly)</w:t>
      </w:r>
    </w:p>
    <w:p>
      <w:r/>
      <w:r>
        <w:rPr>
          <w:b/>
        </w:rPr>
        <w:t>Organic growth drivers:</w:t>
      </w:r>
      <w:r/>
    </w:p>
    <w:p>
      <w:pPr>
        <w:pStyle w:val="ListNumber"/>
      </w:pPr>
      <w:r>
        <w:t>Existing SBIR Phase II contract (FA9300-25-C-6022) period of performance</w:t>
      </w:r>
    </w:p>
    <w:p>
      <w:pPr>
        <w:pStyle w:val="ListNumber"/>
      </w:pPr>
      <w:r>
        <w:t>Continuation of engineering services revenue at current growth rate</w:t>
      </w:r>
    </w:p>
    <w:p>
      <w:pPr>
        <w:pStyle w:val="ListNumber"/>
      </w:pPr>
      <w:r>
        <w:t>BLK3 vehicle completion enabling flight test service revenue (Year 2+)</w:t>
      </w:r>
    </w:p>
    <w:p>
      <w:pPr>
        <w:pStyle w:val="ListNumber"/>
      </w:pPr>
      <w:r>
        <w:t>RDRE development milestones triggering contract payments</w:t>
      </w:r>
    </w:p>
    <w:p>
      <w:pPr>
        <w:pStyle w:val="ListNumber"/>
      </w:pPr>
      <w:r/>
      <w:r>
        <w:rPr>
          <w:b/>
        </w:rPr>
        <w:t>[NEW] entX Launch Services Agreement</w:t>
      </w:r>
      <w:r>
        <w:t xml:space="preserve"> — $840K contracted, revenue recognized CY2026-Q1 2027</w:t>
      </w:r>
    </w:p>
    <w:p>
      <w:pPr>
        <w:pStyle w:val="ListNumber"/>
      </w:pPr>
      <w:r/>
      <w:r>
        <w:rPr>
          <w:b/>
        </w:rPr>
        <w:t>[NEW] NASA Flight Opportunities IDIQ — Suborbital Research Services Onramp</w:t>
      </w:r>
      <w:r>
        <w:t xml:space="preserve"> — Exos is the only US company currently FAA-licensed to fly suborbital reusable rocket launch payloads for commercial sale. NASA Flight Opportunities ($45M IDIQ) provides suborbital research flight services to NASA-funded investigators. Exos expects to onramp as a provider and manifest </w:t>
      </w:r>
      <w:r>
        <w:rPr>
          <w:b/>
        </w:rPr>
        <w:t>2 NASA flights per quarter</w:t>
      </w:r>
      <w:r>
        <w:t xml:space="preserve"> ($1M revenue each = $8M/year at steady state). Flights operated as campaigns: multiple launches per site visit at Spaceport America, separated by ~1 week, enabling NASA's objective of iterative testing. Exos inserts a commercial payload flight between the two NASA flights in each campaign, maximizing vehicle utilization and amortizing launch site costs across 3 flights per campaign.</w:t>
      </w:r>
    </w:p>
    <w:p>
      <w:r/>
      <w:r>
        <w:rPr>
          <w:b/>
        </w:rPr>
        <w:t>Scorpius acquisition drivers (post-close):</w:t>
      </w:r>
      <w:r/>
    </w:p>
    <w:p>
      <w:pPr>
        <w:pStyle w:val="ListNumber"/>
      </w:pPr>
      <w:r>
        <w:t>Continuation of existing Scorpius contracts (Intuitive Machines, other)</w:t>
      </w:r>
    </w:p>
    <w:p>
      <w:pPr>
        <w:pStyle w:val="ListNumber"/>
      </w:pPr>
      <w:r>
        <w:t>New tank manufacturing orders from in-space refueling market demand</w:t>
      </w:r>
    </w:p>
    <w:p>
      <w:pPr>
        <w:pStyle w:val="ListNumber"/>
      </w:pPr>
      <w:r>
        <w:t>Cross-selling: Exos flight test + Scorpius tank testing combined offerings</w:t>
      </w:r>
    </w:p>
    <w:p>
      <w:pPr>
        <w:pStyle w:val="ListNumber"/>
      </w:pPr>
      <w:r/>
      <w:r>
        <w:rPr>
          <w:b/>
        </w:rPr>
        <w:t>[NEW] Second BLK3 flight</w:t>
      </w:r>
      <w:r>
        <w:t xml:space="preserve"> — $750K payload revenue projected (CY2027), based on demonstrated market demand from entX LSA</w:t>
      </w:r>
    </w:p>
    <w:p>
      <w:r/>
      <w:r>
        <w:rPr>
          <w:b/>
        </w:rPr>
        <w:t>What is NOT assumed:</w:t>
      </w:r>
      <w:r/>
    </w:p>
    <w:p>
      <w:pPr>
        <w:pStyle w:val="ListBullet"/>
      </w:pPr>
      <w:r>
        <w:t>No revenue from uncontracted opportunities beyond identified second flight (pipeline is upside, not base case)</w:t>
      </w:r>
    </w:p>
    <w:p>
      <w:pPr>
        <w:pStyle w:val="ListBullet"/>
      </w:pPr>
      <w:r>
        <w:t>TACFI ($4M) and STRATFI ($30M) are included in base case per SBIR Phase III pathway</w:t>
      </w:r>
    </w:p>
    <w:p>
      <w:pPr>
        <w:pStyle w:val="ListBullet"/>
      </w:pPr>
      <w:r>
        <w:t>No revenue from facilities not yet built (Montana is excluded until operational)</w:t>
      </w:r>
    </w:p>
    <w:p>
      <w:pPr>
        <w:pStyle w:val="ListBullet"/>
      </w:pPr>
      <w:r>
        <w:t>No revenue from acquisitions beyond Scorpius (future M&amp;A is upside)</w:t>
      </w:r>
    </w:p>
    <w:p>
      <w:pPr>
        <w:pStyle w:val="ListBullet"/>
      </w:pPr>
      <w:r>
        <w:t>No revenue from pending NASA SBIR Phase I proposals (AERO.4.S26B — embedded FBG SHM; INSTALG.2.S26A — atmospheric sampling system; submitted May 2026). If awarded, adds ~$450K in Phase I + Phase II pipeline</w:t>
      </w:r>
    </w:p>
    <w:p>
      <w:pPr>
        <w:pStyle w:val="ListBullet"/>
      </w:pPr>
      <w:r>
        <w:t>NASA Flight Opportunities IDIQ revenue is included in base case starting CY2027 Q3 (after BLK3.1 flight heritage established by entX mission)</w:t>
      </w:r>
    </w:p>
    <w:p>
      <w:pPr>
        <w:pStyle w:val="Heading3"/>
      </w:pPr>
      <w:r>
        <w:t>Base Case Projections (TACFI/STRATFI included in 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Year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Commercial Launch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NASA Flight Opps IDIQ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BLK4 Commercial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Scorpius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TACFI/STRATFI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Other Gov/Svc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Combined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YoY Growth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2026E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$0.41M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$2.65M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$0.7M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$4.86M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214%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2027E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$1.18M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$3.4M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$2.7M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$9.38M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93%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2028E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$9.8M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$7.0M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$8.2M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262%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2029E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$31M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$64M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88%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2030E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$8.0M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$82M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$28M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$129M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102%</w:t>
            </w:r>
          </w:p>
        </w:tc>
      </w:tr>
    </w:tbl>
    <w:p>
      <w:r/>
      <w:r>
        <w:rPr>
          <w:b/>
        </w:rPr>
        <w:t>10-Year CAGR: ~53% | 5-Year CAGR: ~127%</w:t>
      </w:r>
      <w:r/>
    </w:p>
    <w:p>
      <w:r/>
      <w:r>
        <w:rPr>
          <w:b/>
        </w:rPr>
        <w:t>Commercial Launch revenue allocation:</w:t>
      </w:r>
      <w:r/>
    </w:p>
    <w:p>
      <w:pPr>
        <w:pStyle w:val="ListBullet"/>
      </w:pPr>
      <w:r>
        <w:t>CY2026: $410K — entX Initial Deposit ($82K, billed May 2026) + Design Phase I ($328K, due E/O June 2026)</w:t>
      </w:r>
    </w:p>
    <w:p>
      <w:pPr>
        <w:pStyle w:val="ListBullet"/>
      </w:pPr>
      <w:r>
        <w:t>CY2027: $1,180K — entX remaining milestones ($430K, through Q1 2027 launch) + second BLK3 flight payload revenue ($750K)</w:t>
      </w:r>
    </w:p>
    <w:p>
      <w:pPr>
        <w:pStyle w:val="ListBullet"/>
      </w:pPr>
      <w:r>
        <w:t>entX total: $840K per executed LSA</w:t>
      </w:r>
    </w:p>
    <w:p>
      <w:pPr>
        <w:pStyle w:val="ListBullet"/>
      </w:pPr>
      <w:r>
        <w:t>Second flight total: $750K projected payload revenue</w:t>
      </w:r>
    </w:p>
    <w:p>
      <w:r/>
      <w:r>
        <w:rPr>
          <w:b/>
        </w:rPr>
        <w:t>NASA Flight Opportunities IDIQ revenue allocation:</w:t>
      </w:r>
      <w:r/>
    </w:p>
    <w:p>
      <w:pPr>
        <w:pStyle w:val="ListBullet"/>
      </w:pPr>
      <w:r>
        <w:t>CY2027: $2.0M — Onramp in Q3 2027 (after entX flight establishes BLK3.1 heritage). 2 NASA flights in Q3 + Q4 at $1M each</w:t>
      </w:r>
    </w:p>
    <w:p>
      <w:pPr>
        <w:pStyle w:val="ListBullet"/>
      </w:pPr>
      <w:r>
        <w:t>CY2028-2030: $8.0M/year — 2 NASA flights per quarter × 4 quarters × $1M each = $8M annual steady state</w:t>
      </w:r>
    </w:p>
    <w:p>
      <w:pPr>
        <w:pStyle w:val="ListBullet"/>
      </w:pPr>
      <w:r/>
      <w:r>
        <w:rPr>
          <w:b/>
        </w:rPr>
        <w:t>Flight campaign model:</w:t>
      </w:r>
      <w:r>
        <w:t xml:space="preserve"> Each quarterly campaign consists of 3 launches over ~2 weeks at Spaceport America: NASA Flight 1 → Commercial Flight → NASA Flight 2, separated by ~1 week. This supports NASA's iterative testing objective while maximizing Exos vehicle utilization</w:t>
      </w:r>
    </w:p>
    <w:p>
      <w:pPr>
        <w:pStyle w:val="ListBullet"/>
      </w:pPr>
      <w:r/>
      <w:r>
        <w:rPr>
          <w:b/>
        </w:rPr>
        <w:t>Competitive position:</w:t>
      </w:r>
      <w:r>
        <w:t xml:space="preserve"> Exos is the only US company currently FAA-licensed to fly suborbital reusable rocket launch payloads for commercial sale. Blue Origin (New Shepard) is paused; Masten is bankrupt. This is a de facto sole-source position for the NASA Flight Opportunities sRLV provider onramp</w:t>
      </w:r>
    </w:p>
    <w:p>
      <w:r/>
      <w:r>
        <w:rPr>
          <w:b/>
        </w:rPr>
        <w:t>Key structural assumptions:</w:t>
      </w:r>
      <w:r/>
    </w:p>
    <w:p>
      <w:pPr>
        <w:pStyle w:val="ListBullet"/>
      </w:pPr>
      <w:r/>
      <w:r>
        <w:rPr>
          <w:b/>
        </w:rPr>
        <w:t>entX LSA ($840K):</w:t>
      </w:r>
      <w:r>
        <w:t xml:space="preserve"> Revenue recognized as milestones are invoiced per contract. This is contracted revenue — not pipeline. Single-launch margin is negative (-$480K vs. walk-away cost of ~$1.32M); co-manifesting additional commercial payloads on the same flight improves economics.</w:t>
      </w:r>
    </w:p>
    <w:p>
      <w:pPr>
        <w:pStyle w:val="ListBullet"/>
      </w:pPr>
      <w:r/>
      <w:r>
        <w:rPr>
          <w:b/>
        </w:rPr>
        <w:t>Second BLK3 flight ($750K):</w:t>
      </w:r>
      <w:r>
        <w:t xml:space="preserve"> Projected payload revenue from a second flight in CY2027. Vehicle and infrastructure costs are partially amortized across the two-flight campaign, improving per-flight economics vs. single-launch scenario.</w:t>
      </w:r>
    </w:p>
    <w:p>
      <w:pPr>
        <w:pStyle w:val="ListBullet"/>
      </w:pPr>
      <w:r/>
      <w:r>
        <w:rPr>
          <w:b/>
        </w:rPr>
        <w:t>NASA Flight Opportunities IDIQ ($8M/year steady state):</w:t>
      </w:r>
      <w:r>
        <w:t xml:space="preserve"> 2 flights per quarter at $1M each. Exos is the only FAA-licensed provider currently selling suborbital payload services. Revenue begins Q3 2027 after BLK3.1 flight heritage from entX mission. Campaign model (3 flights per site visit) dramatically improves unit economics — launch site mobilization costs amortized across 3 flights instead of 1.</w:t>
      </w:r>
    </w:p>
    <w:p>
      <w:pPr>
        <w:pStyle w:val="ListBullet"/>
      </w:pPr>
      <w:r/>
      <w:r>
        <w:rPr>
          <w:b/>
        </w:rPr>
        <w:t>BLK4 commercial revenue does not start until ~Apr 2028</w:t>
      </w:r>
      <w:r>
        <w:t xml:space="preserve"> (18-24 month development period under STRATFI follow-on). CY2026-2027 are foundation years with no BLK4 contribution.</w:t>
      </w:r>
    </w:p>
    <w:p>
      <w:pPr>
        <w:pStyle w:val="ListBullet"/>
      </w:pPr>
      <w:r/>
      <w:r>
        <w:rPr>
          <w:b/>
        </w:rPr>
        <w:t>Scorpius starts at $150K/month</w:t>
      </w:r>
      <w:r>
        <w:t xml:space="preserve"> (Jan-Jun 2026), ramps to $292K/month ($3.4M annual rate) from Jul 2026, then doubles annually (CY2028: $7M → CY2029: $14M → CY2030: $28M). No year exceeds 2x prior year.</w:t>
      </w:r>
    </w:p>
    <w:p>
      <w:pPr>
        <w:pStyle w:val="ListBullet"/>
      </w:pPr>
      <w:r/>
      <w:r>
        <w:rPr>
          <w:b/>
        </w:rPr>
        <w:t>TACFI ($4M)</w:t>
      </w:r>
      <w:r>
        <w:t xml:space="preserve"> and </w:t>
      </w:r>
      <w:r>
        <w:rPr>
          <w:b/>
        </w:rPr>
        <w:t>STRATFI ($30M)</w:t>
      </w:r>
      <w:r>
        <w:t xml:space="preserve"> are in base case, submitted through SBIR Phase III pathway. Total government co-investment: $34M.</w:t>
      </w:r>
    </w:p>
    <w:p>
      <w:pPr>
        <w:pStyle w:val="Heading3"/>
      </w:pPr>
      <w:r>
        <w:t>Upside Case (If Additional Milestones Hit)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Combined Base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2nd Payload (Q1 '27 co-manifest)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Additional M&amp;A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Flight Cadence Up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Upside Total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2027E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$7.38M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+$0.8M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$8.18M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2028E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$28M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2029E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$65M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$120M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$15M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$145M</w:t>
            </w:r>
          </w:p>
        </w:tc>
      </w:tr>
    </w:tbl>
    <w:p>
      <w:r/>
      <w:r>
        <w:rPr>
          <w:b/>
        </w:rPr>
        <w:t>Upside triggers (each independent):</w:t>
      </w:r>
      <w:r/>
    </w:p>
    <w:p>
      <w:pPr>
        <w:pStyle w:val="ListBullet"/>
      </w:pPr>
      <w:r/>
      <w:r>
        <w:rPr>
          <w:b/>
        </w:rPr>
        <w:t>Second payload on Q1 2027 manifest (commercial co-manifest):</w:t>
      </w:r>
      <w:r>
        <w:t xml:space="preserve"> Adds ~$800K revenue from additional commercial customers sharing the entX flight, converting that mission from margin-negative to margin-positive. BD targets: ASGSR researchers, Montana Q1 payload, Narravity HEX demo. Mission cost drops from $109.7K to $69.9K (2-launch program)</w:t>
      </w:r>
    </w:p>
    <w:p>
      <w:pPr>
        <w:pStyle w:val="ListBullet"/>
      </w:pPr>
      <w:r>
        <w:t>Second acquisition (propulsion/GNC): adds $5-10M/year from Year 3</w:t>
      </w:r>
    </w:p>
    <w:p>
      <w:pPr>
        <w:pStyle w:val="ListBullet"/>
      </w:pPr>
      <w:r>
        <w:t>Increased BLK4 flight cadence beyond base: adds $3-15M/year</w:t>
      </w:r>
    </w:p>
    <w:p>
      <w:pPr>
        <w:pStyle w:val="ListBullet"/>
      </w:pPr>
      <w:r>
        <w:t>Additional OTA/SBIR Phase III contracts: not quantified</w:t>
      </w:r>
    </w:p>
    <w:p>
      <w:pPr>
        <w:pStyle w:val="Heading2"/>
      </w:pPr>
      <w:r>
        <w:t>CAPITAL REQUIREMENTS — TIED TO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Revenue It Enables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Scorpius acquisition (incl. debt)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$3.4M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$2.65M CY2026 + $3.4M CY2027 + doubling to $28M CY2030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RDRE development (TACFI match)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Unlocks $4M TACFI + $30M STRATFI pathway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BLK3 vehicle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$2.5M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Doubles flight capacity; enables BLK4 fleet ramp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Listing + working capital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market access for follow-on raises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**$10M**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**Plus $34M government co-investment (TACFI + STRATFI)**</w:t>
            </w:r>
          </w:p>
        </w:tc>
      </w:tr>
    </w:tbl>
    <w:p>
      <w:r/>
      <w:r>
        <w:rPr>
          <w:b/>
        </w:rPr>
        <w:t>Capital amplification:</w:t>
      </w:r>
      <w:r>
        <w:t xml:space="preserve"> $10M private capital unlocks $34M in government co-investment — a 3.4x multiplier. Combined $44M supports trajectory to $654M Year 10 annual revenue by CY2030.</w:t>
      </w:r>
    </w:p>
    <w:p>
      <w:r/>
      <w:r>
        <w:rPr>
          <w:b/>
        </w:rPr>
        <w:t>Capital efficiency:</w:t>
      </w:r>
      <w:r>
        <w:t xml:space="preserve"> $10M raised enables $21.1M Year 2 revenue and $37.5M Year 3. That is $2.10-$3.75 of annual revenue per dollar of private capital invested.</w:t>
      </w:r>
    </w:p>
    <w:p>
      <w:r/>
      <w:r>
        <w:rPr>
          <w:b/>
        </w:rPr>
        <w:t>When additional capital is needed:</w:t>
      </w:r>
      <w:r/>
    </w:p>
    <w:p>
      <w:pPr>
        <w:pStyle w:val="ListBullet"/>
      </w:pPr>
      <w:r>
        <w:t>Follow-on raise ($8-15M) in Year 2-3, at full public market value (no DLOM)</w:t>
      </w:r>
    </w:p>
    <w:p>
      <w:pPr>
        <w:pStyle w:val="ListBullet"/>
      </w:pPr>
      <w:r>
        <w:t>Government STRATFI co-investment ($30M) funds RDRE development — reduces private capital needs</w:t>
      </w:r>
    </w:p>
    <w:p>
      <w:pPr>
        <w:pStyle w:val="ListBullet"/>
      </w:pPr>
      <w:r>
        <w:t>If stock appreciates: Stock-based acquisitions require no additional cash</w:t>
      </w:r>
    </w:p>
    <w:p>
      <w:pPr>
        <w:pStyle w:val="Heading2"/>
      </w:pPr>
      <w:r>
        <w:t>VALUATION METHODOLOGY</w:t>
      </w:r>
    </w:p>
    <w:p>
      <w:pPr>
        <w:pStyle w:val="Heading3"/>
      </w:pPr>
      <w:r>
        <w:t>Why Current Revenue Multiples Are Misleading</w:t>
      </w:r>
    </w:p>
    <w:p>
      <w:r>
        <w:t>Applying a trailing revenue multiple to a pre-scale company produces misleading results. Exos's value is driven by:</w:t>
      </w:r>
    </w:p>
    <w:p>
      <w:pPr>
        <w:pStyle w:val="ListBullet"/>
      </w:pPr>
      <w:r>
        <w:t>An FAA reusable launch license (irreplaceable regulatory asset; replacement cost $20-50M+) — Exos is the only US company currently FAA-licensed and actively selling suborbital reusable launch payload services</w:t>
      </w:r>
    </w:p>
    <w:p>
      <w:pPr>
        <w:pStyle w:val="ListBullet"/>
      </w:pPr>
      <w:r>
        <w:t>NASA Flight Opportunities IDIQ eligibility — $45M program, de facto sole-source position as only active FAA-licensed sRLV provider</w:t>
      </w:r>
    </w:p>
    <w:p>
      <w:pPr>
        <w:pStyle w:val="ListBullet"/>
      </w:pPr>
      <w:r>
        <w:t>TRL 9 cryo tank IP with lunar heritage (no comparable available at any price)</w:t>
      </w:r>
    </w:p>
    <w:p>
      <w:pPr>
        <w:pStyle w:val="ListBullet"/>
      </w:pPr>
      <w:r>
        <w:t>Active government contracts with $34M TACFI/STRATFI pipeline</w:t>
      </w:r>
    </w:p>
    <w:p>
      <w:pPr>
        <w:pStyle w:val="ListBullet"/>
      </w:pPr>
      <w:r>
        <w:t>Executed commercial launch contract (entX LSA, $840K) — first paying payload customer</w:t>
      </w:r>
    </w:p>
    <w:p>
      <w:pPr>
        <w:pStyle w:val="ListBullet"/>
      </w:pPr>
      <w:r>
        <w:t>Public-market path: Texas Stock Exchange (TXSE) as the primary listing venue, targeted ~18–24 months post–Series A close + TACFI/STRATFI engagement. (Euronext Dublin route discontinued.)</w:t>
      </w:r>
    </w:p>
    <w:p>
      <w:pPr>
        <w:pStyle w:val="ListBullet"/>
      </w:pPr>
      <w:r>
        <w:t>Demonstrated 100%+ annual revenue growth (see data room for auditable actuals)</w:t>
      </w:r>
    </w:p>
    <w:p>
      <w:pPr>
        <w:pStyle w:val="Heading3"/>
      </w:pPr>
      <w:r>
        <w:t>Appropriate Valuation Approaches</w:t>
      </w:r>
    </w:p>
    <w:p>
      <w:r/>
      <w:r>
        <w:rPr>
          <w:b/>
        </w:rPr>
        <w:t>1. Forward Revenue Multiple (Primary)</w:t>
      </w:r>
      <w:r/>
    </w:p>
    <w:p>
      <w:pPr>
        <w:pStyle w:val="ListBullet"/>
      </w:pPr>
      <w:r>
        <w:t>CY2027 revenue: $9.38M (foundation year — BLK4 in development, TACFI active)</w:t>
      </w:r>
    </w:p>
    <w:p>
      <w:pPr>
        <w:pStyle w:val="ListBullet"/>
      </w:pPr>
      <w:r>
        <w:t>CY2028 revenue: $34M (first full commercial year + STRATFI)</w:t>
      </w:r>
    </w:p>
    <w:p>
      <w:pPr>
        <w:pStyle w:val="ListBullet"/>
      </w:pPr>
      <w:r>
        <w:t>Comparable multiples: Rocket Lab 27x, Intuitive Machines 14x, Spire 5x</w:t>
      </w:r>
    </w:p>
    <w:p>
      <w:pPr>
        <w:pStyle w:val="ListBullet"/>
      </w:pPr>
      <w:r>
        <w:t>Applying 4-6x to CY2028 revenue ($34M): $136M-$204M</w:t>
      </w:r>
    </w:p>
    <w:p>
      <w:pPr>
        <w:pStyle w:val="ListBullet"/>
      </w:pPr>
      <w:r>
        <w:t>Applying 2-3x to CY2029 revenue ($64M): $128M-$192M</w:t>
      </w:r>
    </w:p>
    <w:p>
      <w:r/>
      <w:r>
        <w:rPr>
          <w:b/>
        </w:rPr>
        <w:t>2. Asset-Based Floor</w:t>
      </w:r>
      <w:r/>
    </w:p>
    <w:p>
      <w:pPr>
        <w:pStyle w:val="ListBullet"/>
      </w:pPr>
      <w:r>
        <w:t>FAA reusable launch license replacement value: $20-50M</w:t>
      </w:r>
    </w:p>
    <w:p>
      <w:pPr>
        <w:pStyle w:val="ListBullet"/>
      </w:pPr>
      <w:r>
        <w:t>Scorpius IP (TRL 9 cryo tanks, lunar heritage): $20-40M conservative trade sale estimate</w:t>
      </w:r>
    </w:p>
    <w:p>
      <w:pPr>
        <w:pStyle w:val="ListBullet"/>
      </w:pPr>
      <w:r>
        <w:t>SBIR Phase II contract + STRATFI eligibility: $5-15M</w:t>
      </w:r>
    </w:p>
    <w:p>
      <w:pPr>
        <w:pStyle w:val="ListBullet"/>
      </w:pPr>
      <w:r>
        <w:t>Operating business (revenue, team, facilities): $5-10M</w:t>
      </w:r>
    </w:p>
    <w:p>
      <w:pPr>
        <w:pStyle w:val="ListBullet"/>
      </w:pPr>
      <w:r/>
      <w:r>
        <w:rPr>
          <w:b/>
        </w:rPr>
        <w:t>Asset floor: $50-115M</w:t>
      </w:r>
      <w:r/>
    </w:p>
    <w:p>
      <w:r>
        <w:t>3. 409a Fair Market Value (FINAL — Eqvista, valuation date 3/31/2026, report dated 6/10/2026)</w:t>
      </w:r>
      <w:r>
        <w:rPr>
          <w:b/>
        </w:rPr>
      </w:r>
      <w:r/>
    </w:p>
    <w:p>
      <w:pPr>
        <w:pStyle w:val="ListBullet"/>
      </w:pPr>
      <w:r>
        <w:t>Final Eqvista 409A concluded (valuation date March 31, 2026; report dated June 10, 2026): fair market value of $8.66 per common share on a non-marketable, non-controlling basis — up from $7.06/share in the prior May 31, 2025 409A. Exos's response-letter revisions to DLOM and methodology were partially adopted.</w:t>
      </w:r>
    </w:p>
    <w:p>
      <w:pPr>
        <w:pStyle w:val="ListBullet"/>
      </w:pPr>
      <w:r>
        <w:t>Eqvista weighted the Market Approach (GPCM, $172.1M) and Income Approach (DCF, $167.3M) at 50/50 for a concluded equity value of $169.7M. Discount for lack of marketability (DLOM): 36.51% — reduced from 50% in the prior 409A.</w:t>
      </w:r>
    </w:p>
    <w:p>
      <w:pPr>
        <w:pStyle w:val="ListBullet"/>
      </w:pPr>
      <w:r>
        <w:t>The two approaches now converge within ~3% ($167.3M–$172.1M), a materially tighter band than the prior 409A's $143M–$189M spread. Public-market path: TXSE, ~18–24 months (post Series A + TACFI/STRATFI).</w:t>
      </w:r>
    </w:p>
    <w:p>
      <w:r/>
      <w:r>
        <w:rPr>
          <w:b/>
        </w:rPr>
        <w:t>4. Fairness Opinion on Scorpius (In Progress)</w:t>
      </w:r>
      <w:r/>
    </w:p>
    <w:p>
      <w:pPr>
        <w:pStyle w:val="ListBullet"/>
      </w:pPr>
      <w:r>
        <w:t>Eqvista to issue fairness opinion confirming $3.4M acquisition is at/below fair value</w:t>
      </w:r>
    </w:p>
    <w:p>
      <w:pPr>
        <w:pStyle w:val="ListBullet"/>
      </w:pPr>
      <w:r>
        <w:t>Supports governance narrative for public listing</w:t>
      </w:r>
    </w:p>
    <w:p>
      <w:pPr>
        <w:pStyle w:val="Heading3"/>
      </w:pPr>
      <w:r>
        <w:t>Proposed Valuation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 value (undiscounted)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$100-150M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Forward revenue multiple + asset floor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Pre-listing placement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409a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Independent third-party valuation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Post-listing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Market-determined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Shares trade at fair value upon admission</w:t>
            </w:r>
          </w:p>
        </w:tc>
      </w:tr>
    </w:tbl>
    <w:p>
      <w:r>
        <w:t>Note: Valuation is set by the final independent 409A (Eqvista, valuation date 3/31/2026, report dated 6/10/2026): $8.66/share common, $169.7M equity, 36.51% DLOM. Investment terms reference this 409A; the public-listing venue (TXSE) will be confirmed when listing criteria are met.</w:t>
      </w:r>
      <w:r>
        <w:rPr>
          <w:b/>
        </w:rPr>
      </w:r>
      <w:r/>
    </w:p>
    <w:p>
      <w:pPr>
        <w:pStyle w:val="Heading2"/>
      </w:pPr>
      <w:r>
        <w:t>LISTING STRATEGY — DUAL-VENUE APPROACH</w:t>
      </w:r>
    </w:p>
    <w:p>
      <w:pPr>
        <w:pStyle w:val="Heading3"/>
      </w:pPr>
      <w:r>
        <w:t>Primary: Texas Stock Exchange (TXSE)</w:t>
      </w:r>
    </w:p>
    <w:p>
      <w:pPr>
        <w:pStyle w:val="ListBullet"/>
      </w:pPr>
      <w:r>
        <w:t>Target: TXSE listing path under evaluation, ~18–24 months, contingent on Series A close + TACFI/STRATFI. (Prior Whitefield/Euronext Dublin route discontinued; Whitefield retained only as a potential investor introducer.)</w:t>
      </w:r>
    </w:p>
    <w:p>
      <w:pPr>
        <w:pStyle w:val="ListBullet"/>
      </w:pPr>
      <w:r>
        <w:t>Exos Aerospace Systems &amp; Technologies, Inc. (Texas) as listing entity with ITAR protections</w:t>
      </w:r>
    </w:p>
    <w:p>
      <w:pPr>
        <w:pStyle w:val="ListBullet"/>
      </w:pPr>
      <w:r>
        <w:t>3% milestone-vested equity to listing advisor</w:t>
      </w:r>
    </w:p>
    <w:p>
      <w:pPr>
        <w:pStyle w:val="ListBullet"/>
      </w:pPr>
      <w:r>
        <w:t>Enables immediate public market access and follow-on capital raises</w:t>
      </w:r>
    </w:p>
    <w:p>
      <w:pPr>
        <w:pStyle w:val="Heading3"/>
      </w:pPr>
      <w:r>
        <w:t>Secondary: Texas Stock Exchange (TXSE)</w:t>
      </w:r>
    </w:p>
    <w:p>
      <w:pPr>
        <w:pStyle w:val="ListBullet"/>
      </w:pPr>
      <w:r>
        <w:t>TXSE is building a new national securities exchange headquartered in Dallas, TX</w:t>
      </w:r>
    </w:p>
    <w:p>
      <w:pPr>
        <w:pStyle w:val="ListBullet"/>
      </w:pPr>
      <w:r>
        <w:t>Jon Quinn participated in board-level call with TXSE leadership (week of May 12, 2026) including Liz Hocker, Olivia King, and Scott Palmer</w:t>
      </w:r>
    </w:p>
    <w:p>
      <w:pPr>
        <w:pStyle w:val="ListBullet"/>
      </w:pPr>
      <w:r>
        <w:t>TXSE targeting small-company listing rules (est. Q1-Q2 2028)</w:t>
      </w:r>
    </w:p>
    <w:p>
      <w:pPr>
        <w:pStyle w:val="ListBullet"/>
      </w:pPr>
      <w:r>
        <w:t>Jon provided direct input on sizing rules to support small businesses</w:t>
      </w:r>
    </w:p>
    <w:p>
      <w:pPr>
        <w:pStyle w:val="ListBullet"/>
      </w:pPr>
      <w:r/>
      <w:r>
        <w:rPr>
          <w:b/>
        </w:rPr>
        <w:t>Strategic fit:</w:t>
      </w:r>
      <w:r>
        <w:t xml:space="preserve"> Texas-based aerospace manufacturer listing on Texas exchange — strong narrative alignment</w:t>
      </w:r>
    </w:p>
    <w:p>
      <w:pPr>
        <w:pStyle w:val="ListBullet"/>
      </w:pPr>
      <w:r>
        <w:t>Timeline: TXSE is the primary public path, ~18–24 months post–Series A close + TACFI/STRATFI engagement (after the Scorpius acquisition). (Euronext Dublin route discontinued.)</w:t>
      </w:r>
      <w:r>
        <w:rPr>
          <w:b/>
        </w:rPr>
      </w:r>
      <w:r/>
    </w:p>
    <w:p>
      <w:pPr>
        <w:pStyle w:val="ListBullet"/>
      </w:pPr>
      <w:r>
        <w:t>Series A objective: Capital raise positions Exos for a primary U.S. public listing on the Texas Stock Exchange (TXSE) when listing criteria are met (~18–24 months, post Series A + TACFI/STRATFI). (Euronext Dublin route discontinued.)</w:t>
      </w:r>
      <w:r>
        <w:rPr>
          <w:b/>
        </w:rPr>
      </w:r>
      <w:r/>
    </w:p>
    <w:p>
      <w:pPr>
        <w:pStyle w:val="ListBullet"/>
      </w:pPr>
      <w:r>
        <w:t>David Mitchell (Exos board) also engaged with TXSE</w:t>
      </w:r>
    </w:p>
    <w:p>
      <w:pPr>
        <w:pStyle w:val="Heading2"/>
      </w:pPr>
      <w:r>
        <w:t>STRATEGIC EVOLUTION</w:t>
      </w:r>
    </w:p>
    <w:p>
      <w:r>
        <w:t>The company pivoted from a broad multi-vertical strategy to a focused defense/government flight test infrastructure model, achieving EBITDA-positive operations and a clear path to $120M by CY2030 through three pillars: BLK4 commercial fleet operations, Scorpius tank manufacturing, and government-funded RDRE development (TACFI/STRATFI).</w:t>
      </w:r>
    </w:p>
    <w:p>
      <w:r>
        <w:t>The May 2026 execution of the entX Launch Services Agreement ($840K) represents the first commercial payload contract for the BLK3.1 vehicle and validates market demand for suborbital payload services. While the single-launch economics are margin-negative (walk-away cost exceeds contract value by ~$480K), the contract demonstrates commercial traction and — if a second payload is secured for the Q1 2027 manifest — the combined mission becomes profitable (+$320K net).</w:t>
      </w:r>
    </w:p>
    <w:p>
      <w:r>
        <w:t>With the entX contract validating demand, the base case now includes a second BLK3 flight in CY2027 generating $750K in payload revenue — reflecting the growing commercial pipeline for suborbital flight test services.</w:t>
      </w:r>
    </w:p>
    <w:p>
      <w:r>
        <w:t>Current projections are built on demonstrated performance and identified contracts — not market-sizing exercises. Historical financials supporting these projections are available in the investor data room.</w:t>
      </w:r>
    </w:p>
    <w:p>
      <w:r>
        <w:t>*Exos Aerospace Systems &amp; Technologies, Inc.*</w:t>
      </w:r>
    </w:p>
    <w:p>
      <w:r>
        <w:t>*May 2026 | Private &amp; Confidential*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13" ma:contentTypeDescription="Create a new document." ma:contentTypeScope="" ma:versionID="29b2b0516d57a3b68fd0df80afbf9540">
  <xsd:schema xmlns:xsd="http://www.w3.org/2001/XMLSchema" xmlns:xs="http://www.w3.org/2001/XMLSchema" xmlns:p="http://schemas.microsoft.com/office/2006/metadata/properties" xmlns:ns2="e1558a10-1879-455f-b4fa-cfdedf85505e" xmlns:ns3="917a3f04-5547-4e83-a675-a0677bb25779" targetNamespace="http://schemas.microsoft.com/office/2006/metadata/properties" ma:root="true" ma:fieldsID="2bb2ae59b9db38ea895ba89e31161e93" ns2:_="" ns3:_="">
    <xsd:import namespace="e1558a10-1879-455f-b4fa-cfdedf85505e"/>
    <xsd:import namespace="917a3f04-5547-4e83-a675-a0677bb2577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bbd00b4-2324-4224-9886-28f0fa24c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a3f04-5547-4e83-a675-a0677bb2577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de7297-ebff-468e-819f-82e88b25bd4b}" ma:internalName="TaxCatchAll" ma:showField="CatchAllData" ma:web="917a3f04-5547-4e83-a675-a0677bb257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7a3f04-5547-4e83-a675-a0677bb25779" xsi:nil="true"/>
    <lcf76f155ced4ddcb4097134ff3c332f xmlns="e1558a10-1879-455f-b4fa-cfdedf8550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D0BF5C-213D-4389-BF2C-879A98F54F75}"/>
</file>

<file path=customXml/itemProps3.xml><?xml version="1.0" encoding="utf-8"?>
<ds:datastoreItem xmlns:ds="http://schemas.openxmlformats.org/officeDocument/2006/customXml" ds:itemID="{C4A029BC-8BC3-4A83-A6E3-17363721F92A}"/>
</file>

<file path=customXml/itemProps4.xml><?xml version="1.0" encoding="utf-8"?>
<ds:datastoreItem xmlns:ds="http://schemas.openxmlformats.org/officeDocument/2006/customXml" ds:itemID="{30D3CF42-4D25-4334-8293-C51FD0D0EB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