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2240"/>
          <w:sz w:val="29"/>
        </w:rPr>
        <w:t>Exos ITAR-Controlled Technical Data Transfer — Support-Contractor Release Process</w:t>
      </w:r>
    </w:p>
    <w:p/>
    <w:p>
      <w:r/>
      <w:r>
        <w:rPr>
          <w:b/>
        </w:rPr>
        <w:t>Owner:</w:t>
      </w:r>
      <w:r>
        <w:t xml:space="preserve"> Exos Empowered Official (export compliance) · </w:t>
      </w:r>
      <w:r>
        <w:rPr>
          <w:b/>
        </w:rPr>
        <w:t>Version:</w:t>
      </w:r>
      <w:r>
        <w:t xml:space="preserve"> Draft 1.0 · </w:t>
      </w:r>
      <w:r>
        <w:rPr>
          <w:b/>
        </w:rPr>
        <w:t>Date:</w:t>
      </w:r>
      <w:r>
        <w:t xml:space="preserve"> 2026-07-27</w:t>
      </w:r>
    </w:p>
    <w:p/>
    <w:p>
      <w:r>
        <w:rPr>
          <w:b/>
          <w:color w:val="0B2240"/>
          <w:sz w:val="26"/>
        </w:rPr>
        <w:t>Purpose</w:t>
      </w:r>
    </w:p>
    <w:p>
      <w:r>
        <w:t>Defines the mandatory, auditable process Exos follows before releasing any ITAR- or EAR-controlled technical data (drawings, models, engineering data) to an external support contractor — domestic or foreign. No controlled drawing leaves Exos until every gate below is cleared and a human Empowered Official signs the release.</w:t>
      </w:r>
    </w:p>
    <w:p/>
    <w:p>
      <w:r>
        <w:rPr>
          <w:b/>
          <w:color w:val="0B2240"/>
          <w:sz w:val="26"/>
        </w:rPr>
        <w:t>When this process applies</w:t>
      </w:r>
    </w:p>
    <w:p>
      <w:r>
        <w:t>Any time a proposal is made to share export-controlled Exos technical data with a party outside Exos, including support contractors engaged for licensing, engineering, test, or analysis work. Example trigger: contracting Blue Dwarf Space to support BLK3 fin Part 450 licensing, which would require releasing fin drawings.</w:t>
      </w:r>
    </w:p>
    <w:p/>
    <w:p>
      <w:r>
        <w:rPr>
          <w:b/>
          <w:color w:val="0B2240"/>
          <w:sz w:val="26"/>
        </w:rPr>
        <w:t>Roles</w:t>
      </w:r>
    </w:p>
    <w:p>
      <w:pPr>
        <w:pStyle w:val="ListBullet"/>
      </w:pPr>
      <w:r/>
      <w:r>
        <w:rPr>
          <w:b/>
        </w:rPr>
        <w:t>Requestor</w:t>
      </w:r>
      <w:r>
        <w:t xml:space="preserve"> — the Exos person proposing the transfer (states what data, to whom, why).</w:t>
      </w:r>
    </w:p>
    <w:p>
      <w:pPr>
        <w:pStyle w:val="ListBullet"/>
      </w:pPr>
      <w:r/>
      <w:r>
        <w:rPr>
          <w:b/>
        </w:rPr>
        <w:t>Exo (AI compliance support)</w:t>
      </w:r>
      <w:r>
        <w:t xml:space="preserve"> — runs due diligence, assembles the dossier, prepares the agreement, and performs the completeness review. Exo does not authorize release.</w:t>
      </w:r>
    </w:p>
    <w:p>
      <w:pPr>
        <w:pStyle w:val="ListBullet"/>
      </w:pPr>
      <w:r/>
      <w:r>
        <w:rPr>
          <w:b/>
        </w:rPr>
        <w:t>Empowered Official</w:t>
      </w:r>
      <w:r>
        <w:t xml:space="preserve"> — the authorized Exos human (per 22 C.F.R. 120.67) who makes the final release decision and signs the authorization. This is the one-way-door gate. </w:t>
      </w:r>
      <w:r>
        <w:rPr>
          <w:b/>
        </w:rPr>
        <w:t>Designated Empowered Official: John Quinn (Cofounder &amp; CEO).</w:t>
      </w:r>
      <w:r/>
    </w:p>
    <w:p>
      <w:pPr>
        <w:pStyle w:val="ListBullet"/>
      </w:pPr>
      <w:r/>
      <w:r>
        <w:rPr>
          <w:b/>
        </w:rPr>
        <w:t>ITAR support (Denise Shirey)</w:t>
      </w:r>
      <w:r>
        <w:t xml:space="preserve"> — reviews the completed transfer documents after Jon approves them and before first operational use.</w:t>
      </w:r>
    </w:p>
    <w:p>
      <w:pPr>
        <w:pStyle w:val="ListBullet"/>
      </w:pPr>
      <w:r/>
      <w:r>
        <w:rPr>
          <w:b/>
        </w:rPr>
        <w:t>Outside counsel (Marion Keyes)</w:t>
      </w:r>
      <w:r>
        <w:t xml:space="preserve"> — engaged only after Exos and the contractor agree the draft, for legal/licensing/exemption questions.</w:t>
      </w:r>
    </w:p>
    <w:p/>
    <w:p>
      <w:r>
        <w:rPr>
          <w:b/>
          <w:color w:val="0B2240"/>
          <w:sz w:val="26"/>
        </w:rPr>
        <w:t>The process (each gate must clear before the next)</w:t>
      </w:r>
    </w:p>
    <w:p/>
    <w:p>
      <w:r/>
      <w:r>
        <w:rPr>
          <w:b/>
        </w:rPr>
        <w:t>1. Request &amp; scope.</w:t>
      </w:r>
      <w:r>
        <w:t xml:space="preserve"> Requestor identifies the exact data proposed for release and the support purpose. Exo opens the release record.</w:t>
      </w:r>
    </w:p>
    <w:p/>
    <w:p>
      <w:r/>
      <w:r>
        <w:rPr>
          <w:b/>
        </w:rPr>
        <w:t>2. Due Diligence (DD).</w:t>
      </w:r>
      <w:r>
        <w:t xml:space="preserve"> Exo researches the recipient: legal entity, country, ownership and foreign ownership/control/influence (FOCI), principals and nationalities, denied/restricted-party screening (BIS Entity List, OFAC SDN, DDTC Debarred), business viability, and any prior US-defense work. Output: a cited DD memo with a Low/Medium/High risk read.</w:t>
      </w:r>
    </w:p>
    <w:p/>
    <w:p>
      <w:r/>
      <w:r>
        <w:rPr>
          <w:b/>
        </w:rPr>
        <w:t>3. Dossier.</w:t>
      </w:r>
      <w:r>
        <w:t xml:space="preserve"> Exo creates a formal dossier card for the recipient (dossier system) that integrates the DD result and carries a DD verdict. A </w:t>
      </w:r>
      <w:r>
        <w:rPr>
          <w:b/>
        </w:rPr>
        <w:t>Failed DD blocks the transfer</w:t>
      </w:r>
      <w:r>
        <w:t>.</w:t>
      </w:r>
    </w:p>
    <w:p/>
    <w:p>
      <w:r/>
      <w:r>
        <w:rPr>
          <w:b/>
        </w:rPr>
        <w:t>4. Export pathway determination.</w:t>
      </w:r>
      <w:r>
        <w:t xml:space="preserve"> Establish the authorization basis:</w:t>
      </w:r>
    </w:p>
    <w:p>
      <w:pPr>
        <w:pStyle w:val="ListBullet"/>
      </w:pPr>
      <w:r>
        <w:t xml:space="preserve">Recipient is a </w:t>
      </w:r>
      <w:r>
        <w:rPr>
          <w:b/>
        </w:rPr>
        <w:t>U.S. Person</w:t>
      </w:r>
      <w:r>
        <w:t xml:space="preserve"> → U.S.-person-to-U.S.-person, no license required.</w:t>
      </w:r>
    </w:p>
    <w:p>
      <w:pPr>
        <w:pStyle w:val="ListBullet"/>
      </w:pPr>
      <w:r>
        <w:t xml:space="preserve">Recipient is a </w:t>
      </w:r>
      <w:r>
        <w:rPr>
          <w:b/>
        </w:rPr>
        <w:t>Foreign Person</w:t>
      </w:r>
      <w:r>
        <w:t xml:space="preserve"> → a license or authorization is required: DDTC license (DSP-5), a Technical Assistance Agreement (TAA), a license exemption, or the </w:t>
      </w:r>
      <w:r>
        <w:rPr>
          <w:b/>
        </w:rPr>
        <w:t>AUKUS / 22 C.F.R. 126.7</w:t>
      </w:r>
      <w:r>
        <w:t xml:space="preserve"> pathway for eligible Australia/UK recipients. Flag for outside counsel where needed (post-draft-agreement only).</w:t>
      </w:r>
    </w:p>
    <w:p/>
    <w:p>
      <w:r/>
      <w:r>
        <w:rPr>
          <w:b/>
        </w:rPr>
        <w:t>5. Agreement.</w:t>
      </w:r>
      <w:r>
        <w:t xml:space="preserve"> The recipient signs the </w:t>
      </w:r>
      <w:r>
        <w:rPr>
          <w:b/>
        </w:rPr>
        <w:t>ITAR-Controlled Technical Data Transfer Control Agreement (TDTCA)</w:t>
      </w:r>
      <w:r>
        <w:t xml:space="preserve"> via the internal DocuSign. The TDTCA embeds the Drawing Manifest (Exhibit A), the DD/Dossier summary (Exhibit B), handling/marking/no-retransfer obligations, and the authorization basis.</w:t>
      </w:r>
    </w:p>
    <w:p/>
    <w:p>
      <w:r/>
      <w:r>
        <w:rPr>
          <w:b/>
        </w:rPr>
        <w:t>6. Exo completeness review.</w:t>
      </w:r>
      <w:r>
        <w:t xml:space="preserve"> Exo verifies: DD complete and dossier attached; authorization basis confirmed (and any license/TAA in place); Exhibit A manifest matches exactly what will be released; safeguarding boundary specified; all agreement fields complete. Exo reports the package as review-complete.</w:t>
      </w:r>
    </w:p>
    <w:p/>
    <w:p>
      <w:r/>
      <w:r>
        <w:rPr>
          <w:b/>
        </w:rPr>
        <w:t>7. Empowered Official release authorization (human sign-off).</w:t>
      </w:r>
      <w:r>
        <w:t xml:space="preserve"> The Empowered Official (John Quinn) signs Section 12 of the TDTCA, certifying DD is reviewed, the authorization basis is confirmed, and the manifest is accurate, and authorizes release. This is the only step that permits transfer.</w:t>
      </w:r>
    </w:p>
    <w:p/>
    <w:p>
      <w:r/>
      <w:r>
        <w:rPr>
          <w:b/>
        </w:rPr>
        <w:t>8. Release &amp; log.</w:t>
      </w:r>
      <w:r>
        <w:t xml:space="preserve"> Only the drawings listed in Exhibit A are released. The transfer is logged (what, to whom, when, under what authorization, who approved) for the export record.</w:t>
      </w:r>
    </w:p>
    <w:p/>
    <w:p>
      <w:r>
        <w:rPr>
          <w:b/>
          <w:color w:val="0B2240"/>
          <w:sz w:val="26"/>
        </w:rPr>
        <w:t>Key rules</w:t>
      </w:r>
    </w:p>
    <w:p>
      <w:pPr>
        <w:pStyle w:val="ListBullet"/>
      </w:pPr>
      <w:r>
        <w:t>Nothing releases before Step 7 signature — full stop.</w:t>
      </w:r>
    </w:p>
    <w:p>
      <w:pPr>
        <w:pStyle w:val="ListBullet"/>
      </w:pPr>
      <w:r>
        <w:t>Only items on the Exhibit A manifest are authorized; anything else requires a new manifest and re-authorization.</w:t>
      </w:r>
    </w:p>
    <w:p>
      <w:pPr>
        <w:pStyle w:val="ListBullet"/>
      </w:pPr>
      <w:r>
        <w:t>Internal U.S.-person-to-U.S.-person exchange is not an export; foreign-person release always needs an authorization basis.</w:t>
      </w:r>
    </w:p>
    <w:p>
      <w:pPr>
        <w:pStyle w:val="ListBullet"/>
      </w:pPr>
      <w:r>
        <w:t>The DD/dossier is a living record; the recipient must notify Exos of ownership/personnel/screening changes.</w:t>
      </w:r>
    </w:p>
    <w:p>
      <w:pPr>
        <w:pStyle w:val="ListBullet"/>
      </w:pPr>
      <w:r>
        <w:t>Retain the full record (DD, dossier, executed TDTCA, release log) for the export compliance file.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