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jc w:val="center"/>
      </w:pPr>
      <w:r>
        <w:rPr>
          <w:b/>
          <w:color w:val="0B2240"/>
          <w:sz w:val="30"/>
        </w:rPr>
        <w:t>EXOS INTEGRATED CONSORTIUM (EIC) — Prime-Integrator Model</w:t>
      </w:r>
    </w:p>
    <w:p>
      <w:pPr>
        <w:spacing w:after="160"/>
        <w:jc w:val="center"/>
      </w:pPr>
      <w:r>
        <w:rPr>
          <w:i/>
          <w:color w:val="0B2240"/>
          <w:sz w:val="19"/>
        </w:rPr>
        <w:t>How a lean company fields a 200-person prime team — without any partner giving up autonomy.</w:t>
      </w:r>
    </w:p>
    <w:p/>
    <w:p>
      <w:pPr>
        <w:spacing w:before="160" w:after="60"/>
      </w:pPr>
      <w:r>
        <w:rPr>
          <w:b/>
          <w:color w:val="0B2240"/>
          <w:sz w:val="23"/>
        </w:rPr>
        <w:t>The idea</w:t>
      </w:r>
    </w:p>
    <w:p>
      <w:pPr>
        <w:spacing w:after="100"/>
      </w:pPr>
      <w:r>
        <w:t xml:space="preserve">Exos acts as the </w:t>
      </w:r>
      <w:r>
        <w:rPr>
          <w:b/>
        </w:rPr>
        <w:t>prime integrator</w:t>
      </w:r>
      <w:r>
        <w:t xml:space="preserve">. For any opportunity too big for one small firm, Exos knits 3–4 specialized companies into a single </w:t>
      </w:r>
      <w:r>
        <w:rPr>
          <w:b/>
        </w:rPr>
        <w:t>virtual prime</w:t>
      </w:r>
      <w:r>
        <w:t xml:space="preserve"> that bids </w:t>
      </w:r>
      <w:r>
        <w:rPr>
          <w:b/>
        </w:rPr>
        <w:t>Firm-Fixed-Price (FFP)</w:t>
      </w:r>
      <w:r>
        <w:t xml:space="preserve">. Each partner quotes and owns its own scope; Exos holds the contract, integrates the whole, and carries the </w:t>
      </w:r>
      <w:r>
        <w:rPr>
          <w:b/>
        </w:rPr>
        <w:t>contingency/backup plan</w:t>
      </w:r>
      <w:r>
        <w:t xml:space="preserve"> so no single-partner failure can sink delivery. The customer buys </w:t>
      </w:r>
      <w:r>
        <w:rPr>
          <w:b/>
        </w:rPr>
        <w:t>one accountable prime</w:t>
      </w:r>
      <w:r>
        <w:t>; the partners keep their independence and win work none could bid alone.</w:t>
      </w:r>
    </w:p>
    <w:p/>
    <w:p>
      <w:pPr>
        <w:spacing w:before="160" w:after="60"/>
      </w:pPr>
      <w:r>
        <w:rPr>
          <w:b/>
          <w:color w:val="0B2240"/>
          <w:sz w:val="23"/>
        </w:rPr>
        <w:t>How it works (the flow)</w:t>
      </w:r>
    </w:p>
    <w:p>
      <w:pPr>
        <w:spacing w:after="40"/>
        <w:ind w:left="280"/>
      </w:pPr>
      <w:r>
        <w:t xml:space="preserve">1. Exos identifies the pursuit and decomposes it into clean, </w:t>
      </w:r>
      <w:r>
        <w:rPr>
          <w:b/>
        </w:rPr>
        <w:t>ownable scopes</w:t>
      </w:r>
      <w:r>
        <w:t>.</w:t>
      </w:r>
    </w:p>
    <w:p>
      <w:pPr>
        <w:spacing w:after="40"/>
        <w:ind w:left="280"/>
      </w:pPr>
      <w:r>
        <w:t xml:space="preserve">2. Each partner </w:t>
      </w:r>
      <w:r>
        <w:rPr>
          <w:b/>
        </w:rPr>
        <w:t>quotes its own scope FFP</w:t>
      </w:r>
      <w:r>
        <w:t xml:space="preserve"> — prices its own risk, no forced cost-share.</w:t>
      </w:r>
    </w:p>
    <w:p>
      <w:pPr>
        <w:spacing w:after="40"/>
        <w:ind w:left="280"/>
      </w:pPr>
      <w:r>
        <w:t xml:space="preserve">3. Exos assembles the integrated FFP bid, adds systems engineering / program management / integration, and prices the </w:t>
      </w:r>
      <w:r>
        <w:rPr>
          <w:b/>
        </w:rPr>
        <w:t>prime margin + contingency</w:t>
      </w:r>
      <w:r>
        <w:t>.</w:t>
      </w:r>
    </w:p>
    <w:p>
      <w:pPr>
        <w:spacing w:after="40"/>
        <w:ind w:left="280"/>
      </w:pPr>
      <w:r>
        <w:t xml:space="preserve">4. On award, </w:t>
      </w:r>
      <w:r>
        <w:rPr>
          <w:b/>
        </w:rPr>
        <w:t>Exos holds the prime contract</w:t>
      </w:r>
      <w:r>
        <w:t xml:space="preserve">; partners execute under </w:t>
      </w:r>
      <w:r>
        <w:rPr>
          <w:b/>
        </w:rPr>
        <w:t>FFP task orders / subcontracts</w:t>
      </w:r>
      <w:r>
        <w:t>.</w:t>
      </w:r>
    </w:p>
    <w:p>
      <w:pPr>
        <w:spacing w:after="40"/>
        <w:ind w:left="280"/>
      </w:pPr>
      <w:r>
        <w:t xml:space="preserve">5. Exos maintains a </w:t>
      </w:r>
      <w:r>
        <w:rPr>
          <w:b/>
        </w:rPr>
        <w:t>2-deep backup</w:t>
      </w:r>
      <w:r>
        <w:t xml:space="preserve"> for every critical scope — self-perform or swap a qualified alternate if a partner slips — protecting the FFP promise to the customer.</w:t>
      </w:r>
    </w:p>
    <w:p/>
    <w:p>
      <w:pPr>
        <w:spacing w:before="160" w:after="60"/>
      </w:pPr>
      <w:r>
        <w:rPr>
          <w:b/>
          <w:color w:val="0B2240"/>
          <w:sz w:val="23"/>
        </w:rPr>
        <w:t>What each partner gets (autonomy + group benefit)</w:t>
      </w:r>
    </w:p>
    <w:p>
      <w:pPr>
        <w:spacing w:after="40"/>
        <w:ind w:left="360"/>
      </w:pPr>
      <w:r>
        <w:t xml:space="preserve">•  Owns and prices its </w:t>
      </w:r>
      <w:r>
        <w:rPr>
          <w:b/>
        </w:rPr>
        <w:t>own scope</w:t>
      </w:r>
      <w:r>
        <w:t xml:space="preserve">; risk </w:t>
      </w:r>
      <w:r>
        <w:rPr>
          <w:b/>
        </w:rPr>
        <w:t>bounded to that scope</w:t>
      </w:r>
      <w:r>
        <w:t xml:space="preserve"> (no joint-and-several exposure).</w:t>
      </w:r>
    </w:p>
    <w:p>
      <w:pPr>
        <w:spacing w:after="40"/>
        <w:ind w:left="360"/>
      </w:pPr>
      <w:r>
        <w:t xml:space="preserve">•  Keeps its </w:t>
      </w:r>
      <w:r>
        <w:rPr>
          <w:b/>
        </w:rPr>
        <w:t>background IP, brand, and other customers</w:t>
      </w:r>
      <w:r>
        <w:t xml:space="preserve"> (non-exclusive except on the shared pursuit).</w:t>
      </w:r>
    </w:p>
    <w:p>
      <w:pPr>
        <w:spacing w:after="40"/>
        <w:ind w:left="360"/>
      </w:pPr>
      <w:r>
        <w:t xml:space="preserve">•  </w:t>
      </w:r>
      <w:r>
        <w:rPr>
          <w:b/>
        </w:rPr>
        <w:t>Non-circumvention / non-solicitation</w:t>
      </w:r>
      <w:r>
        <w:t xml:space="preserve"> — Exos won't cut you out; you won't go around Exos on that deal.</w:t>
      </w:r>
    </w:p>
    <w:p>
      <w:pPr>
        <w:spacing w:after="40"/>
        <w:ind w:left="360"/>
      </w:pPr>
      <w:r>
        <w:t xml:space="preserve">•  Access to bids requiring </w:t>
      </w:r>
      <w:r>
        <w:rPr>
          <w:b/>
        </w:rPr>
        <w:t>scale, certifications, and past-performance</w:t>
      </w:r>
      <w:r>
        <w:t xml:space="preserve"> the partner lacks alone.</w:t>
      </w:r>
    </w:p>
    <w:p>
      <w:pPr>
        <w:spacing w:after="40"/>
        <w:ind w:left="360"/>
      </w:pPr>
      <w:r>
        <w:t xml:space="preserve">•  </w:t>
      </w:r>
      <w:r>
        <w:rPr>
          <w:b/>
        </w:rPr>
        <w:t>Backup coverage both ways:</w:t>
      </w:r>
      <w:r>
        <w:t xml:space="preserve"> if you're overloaded, the bench absorbs surge without costing you the award.</w:t>
      </w:r>
    </w:p>
    <w:p/>
    <w:p>
      <w:pPr>
        <w:spacing w:before="160" w:after="60"/>
      </w:pPr>
      <w:r>
        <w:rPr>
          <w:b/>
          <w:color w:val="0B2240"/>
          <w:sz w:val="23"/>
        </w:rPr>
        <w:t>What Exos brings (why it holds the prime)</w:t>
      </w:r>
    </w:p>
    <w:p>
      <w:pPr>
        <w:spacing w:after="40"/>
        <w:ind w:left="360"/>
      </w:pPr>
      <w:r>
        <w:t xml:space="preserve">•  The </w:t>
      </w:r>
      <w:r>
        <w:rPr>
          <w:b/>
        </w:rPr>
        <w:t>contract, customer relationship, and the capture &amp; proposal</w:t>
      </w:r>
      <w:r>
        <w:t xml:space="preserve"> machine.</w:t>
      </w:r>
    </w:p>
    <w:p>
      <w:pPr>
        <w:spacing w:after="40"/>
        <w:ind w:left="360"/>
      </w:pPr>
      <w:r>
        <w:t xml:space="preserve">•  </w:t>
      </w:r>
      <w:r>
        <w:rPr>
          <w:b/>
        </w:rPr>
        <w:t>Systems engineering + program management</w:t>
      </w:r>
      <w:r>
        <w:t xml:space="preserve"> that make N companies read as one team.</w:t>
      </w:r>
    </w:p>
    <w:p>
      <w:pPr>
        <w:spacing w:after="40"/>
        <w:ind w:left="360"/>
      </w:pPr>
      <w:r>
        <w:t xml:space="preserve">•  The </w:t>
      </w:r>
      <w:r>
        <w:rPr>
          <w:b/>
        </w:rPr>
        <w:t>compliance boundary</w:t>
      </w:r>
      <w:r>
        <w:t xml:space="preserve"> — ITAR/CUI on GCC High via Atomus, CMMC — so small partners don't each build it.</w:t>
      </w:r>
    </w:p>
    <w:p>
      <w:pPr>
        <w:spacing w:after="40"/>
        <w:ind w:left="360"/>
      </w:pPr>
      <w:r>
        <w:t xml:space="preserve">•  The </w:t>
      </w:r>
      <w:r>
        <w:rPr>
          <w:b/>
        </w:rPr>
        <w:t>single-point-of-failure contingency</w:t>
      </w:r>
      <w:r>
        <w:t>: a qualified alternate bench and the plan to execute it. This is Exos's value-add and the basis of its integration margin.</w:t>
      </w:r>
    </w:p>
    <w:p/>
    <w:p>
      <w:pPr>
        <w:spacing w:before="160" w:after="60"/>
      </w:pPr>
      <w:r>
        <w:rPr>
          <w:b/>
          <w:color w:val="0B2240"/>
          <w:sz w:val="23"/>
        </w:rPr>
        <w:t>The vehicles (pick per pursuit — light to heavy)</w:t>
      </w:r>
    </w:p>
    <w:p>
      <w:pPr>
        <w:spacing w:after="40"/>
        <w:ind w:left="360"/>
      </w:pPr>
      <w:r>
        <w:t xml:space="preserve">•  </w:t>
      </w:r>
      <w:r>
        <w:rPr>
          <w:b/>
        </w:rPr>
        <w:t>Teaming Agreement</w:t>
      </w:r>
      <w:r>
        <w:t xml:space="preserve"> (pre-award, default, lowest friction) → </w:t>
      </w:r>
      <w:r>
        <w:rPr>
          <w:b/>
        </w:rPr>
        <w:t>FFP Subcontract / Task Order</w:t>
      </w:r>
      <w:r>
        <w:t xml:space="preserve"> on award.</w:t>
      </w:r>
    </w:p>
    <w:p>
      <w:pPr>
        <w:spacing w:after="40"/>
        <w:ind w:left="360"/>
      </w:pPr>
      <w:r>
        <w:t xml:space="preserve">•  </w:t>
      </w:r>
      <w:r>
        <w:rPr>
          <w:b/>
        </w:rPr>
        <w:t>Standing Consortium MOU</w:t>
      </w:r>
      <w:r>
        <w:t xml:space="preserve"> — one master agreement so repeat bids don't re-paper each time.</w:t>
      </w:r>
    </w:p>
    <w:p>
      <w:pPr>
        <w:spacing w:after="40"/>
        <w:ind w:left="360"/>
      </w:pPr>
      <w:r>
        <w:t xml:space="preserve">•  </w:t>
      </w:r>
      <w:r>
        <w:rPr>
          <w:b/>
        </w:rPr>
        <w:t>Joint Venture (JV)</w:t>
      </w:r>
      <w:r>
        <w:t xml:space="preserve"> — a formal joint entity only when a specific large program or set-aside requires it.</w:t>
      </w:r>
    </w:p>
    <w:p>
      <w:pPr>
        <w:spacing w:after="40"/>
        <w:ind w:left="360"/>
      </w:pPr>
      <w:r>
        <w:t xml:space="preserve">•  </w:t>
      </w:r>
      <w:r>
        <w:rPr>
          <w:b/>
        </w:rPr>
        <w:t>Technology License</w:t>
      </w:r>
      <w:r>
        <w:t xml:space="preserve"> — when a partner's IP is embedded in an Exos product.</w:t>
      </w:r>
    </w:p>
    <w:p/>
    <w:p>
      <w:pPr>
        <w:spacing w:before="160" w:after="60"/>
      </w:pPr>
      <w:r>
        <w:rPr>
          <w:b/>
          <w:color w:val="0B2240"/>
          <w:sz w:val="23"/>
        </w:rPr>
        <w:t>The easy structure (so a small company can sign without a legal department)</w:t>
      </w:r>
    </w:p>
    <w:p>
      <w:pPr>
        <w:spacing w:after="40"/>
        <w:ind w:left="360"/>
      </w:pPr>
      <w:r>
        <w:t xml:space="preserve">•  </w:t>
      </w:r>
      <w:r>
        <w:rPr>
          <w:b/>
        </w:rPr>
        <w:t>One 2-page master</w:t>
      </w:r>
      <w:r>
        <w:t xml:space="preserve"> per partner: MNDA + background/foreground </w:t>
      </w:r>
      <w:r>
        <w:rPr>
          <w:b/>
        </w:rPr>
        <w:t>IP split</w:t>
      </w:r>
      <w:r>
        <w:t xml:space="preserve"> + </w:t>
      </w:r>
      <w:r>
        <w:rPr>
          <w:b/>
        </w:rPr>
        <w:t>non-circumvention</w:t>
      </w:r>
      <w:r>
        <w:t xml:space="preserve"> + </w:t>
      </w:r>
      <w:r>
        <w:rPr>
          <w:b/>
        </w:rPr>
        <w:t>scope-bounded FFP</w:t>
      </w:r>
      <w:r>
        <w:t xml:space="preserve"> + defined </w:t>
      </w:r>
      <w:r>
        <w:rPr>
          <w:b/>
        </w:rPr>
        <w:t>exclusivity window</w:t>
      </w:r>
      <w:r>
        <w:t xml:space="preserve"> + clean </w:t>
      </w:r>
      <w:r>
        <w:rPr>
          <w:b/>
        </w:rPr>
        <w:t>exit</w:t>
      </w:r>
      <w:r>
        <w:t>.</w:t>
      </w:r>
    </w:p>
    <w:p>
      <w:pPr>
        <w:spacing w:after="40"/>
        <w:ind w:left="360"/>
      </w:pPr>
      <w:r>
        <w:t xml:space="preserve">•  </w:t>
      </w:r>
      <w:r>
        <w:rPr>
          <w:b/>
        </w:rPr>
        <w:t>One 1-page work order</w:t>
      </w:r>
      <w:r>
        <w:t xml:space="preserve"> per pursuit: scope, price, schedule, and named </w:t>
      </w:r>
      <w:r>
        <w:rPr>
          <w:b/>
        </w:rPr>
        <w:t>backup</w:t>
      </w:r>
      <w:r>
        <w:t>.</w:t>
      </w:r>
    </w:p>
    <w:p>
      <w:pPr>
        <w:spacing w:after="40"/>
        <w:ind w:left="360"/>
      </w:pPr>
      <w:r>
        <w:t>•  That's the whole footprint. Everything else lives in the FFP task orders on award.</w:t>
      </w:r>
    </w:p>
    <w:p/>
    <w:p>
      <w:pPr>
        <w:spacing w:before="160" w:after="60"/>
      </w:pPr>
      <w:r>
        <w:rPr>
          <w:b/>
          <w:color w:val="0B2240"/>
          <w:sz w:val="23"/>
        </w:rPr>
        <w:t>Governance (lightweight)</w:t>
      </w:r>
    </w:p>
    <w:p>
      <w:pPr>
        <w:spacing w:after="40"/>
        <w:ind w:left="360"/>
      </w:pPr>
      <w:r>
        <w:t xml:space="preserve">•  </w:t>
      </w:r>
      <w:r>
        <w:rPr>
          <w:b/>
        </w:rPr>
        <w:t>Exos = Consortium Lead / Program Manager</w:t>
      </w:r>
      <w:r>
        <w:t xml:space="preserve"> (single throat to the customer).</w:t>
      </w:r>
    </w:p>
    <w:p>
      <w:pPr>
        <w:spacing w:after="40"/>
        <w:ind w:left="360"/>
      </w:pPr>
      <w:r>
        <w:t xml:space="preserve">•  Per-pursuit </w:t>
      </w:r>
      <w:r>
        <w:rPr>
          <w:b/>
        </w:rPr>
        <w:t>capture lead</w:t>
      </w:r>
      <w:r>
        <w:t xml:space="preserve"> + a simple go/no-go and bid-review gate.</w:t>
      </w:r>
    </w:p>
    <w:p>
      <w:pPr>
        <w:spacing w:after="40"/>
        <w:ind w:left="360"/>
      </w:pPr>
      <w:r>
        <w:t xml:space="preserve">•  Money is clean: each partner keeps its FFP; </w:t>
      </w:r>
      <w:r>
        <w:rPr>
          <w:b/>
        </w:rPr>
        <w:t>Exos takes an integration fee / prime margin</w:t>
      </w:r>
      <w:r>
        <w:t xml:space="preserve"> and funds the contingency bench.</w:t>
      </w:r>
    </w:p>
    <w:p/>
    <w:p>
      <w:pPr>
        <w:spacing w:before="160" w:after="60"/>
      </w:pPr>
      <w:r>
        <w:rPr>
          <w:b/>
          <w:color w:val="0B2240"/>
          <w:sz w:val="23"/>
        </w:rPr>
        <w:t>Bottom line</w:t>
      </w:r>
    </w:p>
    <w:p>
      <w:pPr>
        <w:spacing w:after="100"/>
      </w:pPr>
      <w:r>
        <w:t xml:space="preserve">Exos becomes the </w:t>
      </w:r>
      <w:r>
        <w:rPr>
          <w:b/>
        </w:rPr>
        <w:t>integrator that lets small companies bid like a prime</w:t>
      </w:r>
      <w:r>
        <w:t xml:space="preserve"> — FFP, accountable, and de-risked by design. Partners stay independent; together they take work no one of them could touch.</w:t>
      </w:r>
    </w:p>
    <w:p/>
    <w:p>
      <w:pPr>
        <w:spacing w:before="120" w:after="60"/>
      </w:pPr>
      <w:r>
        <w:rPr>
          <w:b/>
          <w:i/>
          <w:color w:val="0B2240"/>
          <w:sz w:val="20"/>
        </w:rPr>
        <w:t>Example consortia from our own ecosystem (illustrative)</w:t>
      </w:r>
    </w:p>
    <w:p>
      <w:pPr>
        <w:spacing w:after="40"/>
        <w:ind w:left="360"/>
      </w:pPr>
      <w:r>
        <w:t xml:space="preserve">•  </w:t>
      </w:r>
      <w:r>
        <w:rPr>
          <w:b/>
        </w:rPr>
        <w:t>Reusable RDRE flight demo (USAF/NASA):</w:t>
      </w:r>
      <w:r>
        <w:t xml:space="preserve"> Exos (integrator + PSRLV + flight ops) + Scorpius (propulsion / Type-5 tanks) + MATECH / Super Carbon (CMC + carbon-carbon hot section) + Hybron (fast composite structures) + RDRE core (GTL vs. NASA MSFC, trade-study). → a flight-demonstrated, reusable RDRE bid as one prime.</w:t>
      </w:r>
    </w:p>
    <w:p>
      <w:pPr>
        <w:spacing w:after="40"/>
        <w:ind w:left="360"/>
      </w:pPr>
      <w:r>
        <w:t xml:space="preserve">•  </w:t>
      </w:r>
      <w:r>
        <w:rPr>
          <w:b/>
        </w:rPr>
        <w:t>National suborbital test &amp; qualification enterprise:</w:t>
      </w:r>
      <w:r>
        <w:t xml:space="preserve"> Exos (licensed reusable platform + flight ops) + Starfighters (flight-test / underutilized-company consortium) + CDT (composites) + Atomus (CMMC) + CertBuddyAI (Part 450/420). → a test-enterprise prime.</w:t>
      </w:r>
    </w:p>
    <w:p>
      <w:pPr>
        <w:spacing w:after="40"/>
        <w:ind w:left="360"/>
      </w:pPr>
      <w:r>
        <w:t xml:space="preserve">•  </w:t>
      </w:r>
      <w:r>
        <w:rPr>
          <w:b/>
        </w:rPr>
        <w:t>Hypersonic materials-to-flight-test:</w:t>
      </w:r>
      <w:r>
        <w:t xml:space="preserve"> Exos (integrator + suborbital test platform) + MATECH (C/ZrOC, HfC fiber) + Super Carbon (UHDCC) + Scorpius. → materials qualification through flight, as one prime.</w:t>
      </w:r>
    </w:p>
    <w:p/>
    <w:p>
      <w:pPr>
        <w:spacing w:after="160"/>
        <w:jc w:val="center"/>
      </w:pPr>
      <w:r>
        <w:rPr>
          <w:i/>
          <w:color w:val="0B2240"/>
          <w:sz w:val="19"/>
        </w:rPr>
        <w:t>Exos Aerospace Systems &amp; Technologies, Inc. — Integrator / Prime. Draft model v1, 2026-08-13.</w:t>
      </w:r>
    </w:p>
    <w:p/>
    <w:sectPr w:rsidR="00D02269" w:rsidRPr="007C623E" w:rsidSect="006E0F8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584" w:right="576" w:bottom="1152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A9F3A" w14:textId="77777777" w:rsidR="00A928DF" w:rsidRDefault="00A928DF" w:rsidP="00A00680">
      <w:r>
        <w:separator/>
      </w:r>
    </w:p>
  </w:endnote>
  <w:endnote w:type="continuationSeparator" w:id="0">
    <w:p w14:paraId="7F79A9D2" w14:textId="77777777" w:rsidR="00A928DF" w:rsidRDefault="00A928DF" w:rsidP="00A00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77A47" w14:textId="77777777" w:rsidR="007D3D8F" w:rsidRDefault="007D3D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FC7E1" w14:textId="041F3336" w:rsidR="00153AFE" w:rsidRDefault="00153AFE" w:rsidP="00153AFE">
    <w:pPr>
      <w:pStyle w:val="Footer"/>
    </w:pPr>
  </w:p>
  <w:p w14:paraId="7E53FDB1" w14:textId="05BAE708" w:rsidR="00153AFE" w:rsidRPr="00AD1D32" w:rsidRDefault="00153AFE" w:rsidP="00153AFE">
    <w:pPr>
      <w:pStyle w:val="Footer"/>
    </w:pPr>
  </w:p>
  <w:p w14:paraId="5BED68FB" w14:textId="3BFC5E88" w:rsidR="00153AFE" w:rsidRDefault="005205E5" w:rsidP="005205E5">
    <w:pPr>
      <w:pStyle w:val="Footer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7387259" wp14:editId="5BC35EEC">
          <wp:simplePos x="0" y="0"/>
          <wp:positionH relativeFrom="page">
            <wp:align>right</wp:align>
          </wp:positionH>
          <wp:positionV relativeFrom="paragraph">
            <wp:posOffset>63690</wp:posOffset>
          </wp:positionV>
          <wp:extent cx="3425190" cy="561150"/>
          <wp:effectExtent l="0" t="0" r="0" b="0"/>
          <wp:wrapNone/>
          <wp:docPr id="1274565867" name="Picture 1274565867" descr="A picture containing ligh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xosletterhead_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5190" cy="561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37924" w14:textId="77777777" w:rsidR="007D3D8F" w:rsidRDefault="007D3D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5324B" w14:textId="77777777" w:rsidR="00A928DF" w:rsidRDefault="00A928DF" w:rsidP="00A00680">
      <w:r>
        <w:separator/>
      </w:r>
    </w:p>
  </w:footnote>
  <w:footnote w:type="continuationSeparator" w:id="0">
    <w:p w14:paraId="2BD1F19D" w14:textId="77777777" w:rsidR="00A928DF" w:rsidRDefault="00A928DF" w:rsidP="00A00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16660" w14:textId="77777777" w:rsidR="007D3D8F" w:rsidRDefault="007D3D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C9F5" w14:textId="096499BE" w:rsidR="00147251" w:rsidRPr="000E6BAA" w:rsidRDefault="00147251" w:rsidP="00147251">
    <w:pPr>
      <w:pStyle w:val="Header"/>
      <w:tabs>
        <w:tab w:val="left" w:pos="2874"/>
        <w:tab w:val="right" w:pos="4680"/>
        <w:tab w:val="right" w:pos="10224"/>
      </w:tabs>
      <w:rPr>
        <w:rFonts w:ascii="Tahoma" w:hAnsi="Tahoma" w:cs="Tahoma"/>
        <w:color w:val="808080" w:themeColor="background1" w:themeShade="80"/>
      </w:rPr>
    </w:pPr>
    <w:r w:rsidRPr="000E6BAA">
      <w:rPr>
        <w:rFonts w:ascii="Tahoma" w:hAnsi="Tahoma" w:cs="Tahoma"/>
        <w:noProof/>
        <w:color w:val="808080" w:themeColor="background1" w:themeShade="80"/>
      </w:rPr>
      <w:drawing>
        <wp:anchor distT="0" distB="0" distL="114300" distR="114300" simplePos="0" relativeHeight="251658240" behindDoc="1" locked="0" layoutInCell="1" allowOverlap="1" wp14:anchorId="24C38B4E" wp14:editId="74402038">
          <wp:simplePos x="0" y="0"/>
          <wp:positionH relativeFrom="column">
            <wp:posOffset>-902970</wp:posOffset>
          </wp:positionH>
          <wp:positionV relativeFrom="paragraph">
            <wp:posOffset>-468629</wp:posOffset>
          </wp:positionV>
          <wp:extent cx="2880360" cy="594844"/>
          <wp:effectExtent l="0" t="0" r="0" b="0"/>
          <wp:wrapNone/>
          <wp:docPr id="624236723" name="Picture 624236723" descr="A picture containing sitt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xosletterhead_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6129" cy="5981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  <w:r w:rsidR="000E645B">
      <w:rPr>
        <w:rFonts w:ascii="Tahoma" w:hAnsi="Tahoma" w:cs="Tahoma"/>
        <w:color w:val="808080" w:themeColor="background1" w:themeShade="80"/>
      </w:rPr>
      <w:tab/>
    </w:r>
  </w:p>
  <w:p w14:paraId="77BB0A6B" w14:textId="1AFFC7D2" w:rsidR="000E6BAA" w:rsidRPr="000E6BAA" w:rsidRDefault="000E6BAA" w:rsidP="00BD08F1">
    <w:pPr>
      <w:pStyle w:val="Header"/>
      <w:jc w:val="center"/>
      <w:rPr>
        <w:rFonts w:ascii="Tahoma" w:hAnsi="Tahoma" w:cs="Tahoma"/>
        <w:color w:val="808080" w:themeColor="background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06036" w14:textId="77777777" w:rsidR="007D3D8F" w:rsidRDefault="007D3D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3731"/>
    <w:multiLevelType w:val="multilevel"/>
    <w:tmpl w:val="2A1A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16D92"/>
    <w:multiLevelType w:val="multilevel"/>
    <w:tmpl w:val="B816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E4D6A"/>
    <w:multiLevelType w:val="multilevel"/>
    <w:tmpl w:val="3E80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803D6"/>
    <w:multiLevelType w:val="hybridMultilevel"/>
    <w:tmpl w:val="B3DEC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823CD"/>
    <w:multiLevelType w:val="multilevel"/>
    <w:tmpl w:val="517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30758"/>
    <w:multiLevelType w:val="multilevel"/>
    <w:tmpl w:val="B36A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A6222"/>
    <w:multiLevelType w:val="multilevel"/>
    <w:tmpl w:val="086C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15241"/>
    <w:multiLevelType w:val="multilevel"/>
    <w:tmpl w:val="B8C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E40D4"/>
    <w:multiLevelType w:val="multilevel"/>
    <w:tmpl w:val="928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566CEB"/>
    <w:multiLevelType w:val="multilevel"/>
    <w:tmpl w:val="7E2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732D0"/>
    <w:multiLevelType w:val="multilevel"/>
    <w:tmpl w:val="2D40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A1CBE"/>
    <w:multiLevelType w:val="multilevel"/>
    <w:tmpl w:val="976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A4EB0"/>
    <w:multiLevelType w:val="multilevel"/>
    <w:tmpl w:val="DB7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644693">
    <w:abstractNumId w:val="3"/>
  </w:num>
  <w:num w:numId="2" w16cid:durableId="1353528203">
    <w:abstractNumId w:val="1"/>
  </w:num>
  <w:num w:numId="3" w16cid:durableId="1015813018">
    <w:abstractNumId w:val="7"/>
  </w:num>
  <w:num w:numId="4" w16cid:durableId="2015566524">
    <w:abstractNumId w:val="4"/>
  </w:num>
  <w:num w:numId="5" w16cid:durableId="870142476">
    <w:abstractNumId w:val="8"/>
  </w:num>
  <w:num w:numId="6" w16cid:durableId="692537600">
    <w:abstractNumId w:val="9"/>
  </w:num>
  <w:num w:numId="7" w16cid:durableId="22829662">
    <w:abstractNumId w:val="6"/>
  </w:num>
  <w:num w:numId="8" w16cid:durableId="1236429732">
    <w:abstractNumId w:val="0"/>
  </w:num>
  <w:num w:numId="9" w16cid:durableId="813722674">
    <w:abstractNumId w:val="5"/>
  </w:num>
  <w:num w:numId="10" w16cid:durableId="1891838380">
    <w:abstractNumId w:val="12"/>
  </w:num>
  <w:num w:numId="11" w16cid:durableId="1136295167">
    <w:abstractNumId w:val="11"/>
  </w:num>
  <w:num w:numId="12" w16cid:durableId="111945368">
    <w:abstractNumId w:val="2"/>
  </w:num>
  <w:num w:numId="13" w16cid:durableId="3752823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3NDUzNDQ0tzQzMjNV0lEKTi0uzszPAykwrAUA/DiwziwAAAA="/>
  </w:docVars>
  <w:rsids>
    <w:rsidRoot w:val="00347922"/>
    <w:rsid w:val="000D2A14"/>
    <w:rsid w:val="000D3330"/>
    <w:rsid w:val="000E645B"/>
    <w:rsid w:val="000E6BAA"/>
    <w:rsid w:val="001316D3"/>
    <w:rsid w:val="00147251"/>
    <w:rsid w:val="00153AFE"/>
    <w:rsid w:val="00166FF3"/>
    <w:rsid w:val="001C45E9"/>
    <w:rsid w:val="001C5A7E"/>
    <w:rsid w:val="001F4FE4"/>
    <w:rsid w:val="001F5095"/>
    <w:rsid w:val="00255B59"/>
    <w:rsid w:val="00265C2B"/>
    <w:rsid w:val="0029014E"/>
    <w:rsid w:val="002A2DC3"/>
    <w:rsid w:val="002A5D3B"/>
    <w:rsid w:val="00317CDE"/>
    <w:rsid w:val="00347922"/>
    <w:rsid w:val="0035562B"/>
    <w:rsid w:val="003834E3"/>
    <w:rsid w:val="00432689"/>
    <w:rsid w:val="00453A15"/>
    <w:rsid w:val="0045462F"/>
    <w:rsid w:val="00454EA1"/>
    <w:rsid w:val="00460E09"/>
    <w:rsid w:val="004B0C4B"/>
    <w:rsid w:val="005205E5"/>
    <w:rsid w:val="005C3232"/>
    <w:rsid w:val="005C77DB"/>
    <w:rsid w:val="00633CFF"/>
    <w:rsid w:val="00680BDE"/>
    <w:rsid w:val="006E0F85"/>
    <w:rsid w:val="00714763"/>
    <w:rsid w:val="007C623E"/>
    <w:rsid w:val="007D3D8F"/>
    <w:rsid w:val="008519E3"/>
    <w:rsid w:val="008D5214"/>
    <w:rsid w:val="008E1AFE"/>
    <w:rsid w:val="00905EFA"/>
    <w:rsid w:val="00961AC9"/>
    <w:rsid w:val="0098334F"/>
    <w:rsid w:val="00987FDA"/>
    <w:rsid w:val="009A7969"/>
    <w:rsid w:val="00A00680"/>
    <w:rsid w:val="00A21352"/>
    <w:rsid w:val="00A4282A"/>
    <w:rsid w:val="00A474CA"/>
    <w:rsid w:val="00A928DF"/>
    <w:rsid w:val="00AC6C96"/>
    <w:rsid w:val="00AF12DB"/>
    <w:rsid w:val="00B779D5"/>
    <w:rsid w:val="00B9321D"/>
    <w:rsid w:val="00BD08F1"/>
    <w:rsid w:val="00C321D3"/>
    <w:rsid w:val="00C8460F"/>
    <w:rsid w:val="00CD2C93"/>
    <w:rsid w:val="00D02269"/>
    <w:rsid w:val="00D82768"/>
    <w:rsid w:val="00DA7C10"/>
    <w:rsid w:val="00ED4B89"/>
    <w:rsid w:val="00EF2670"/>
    <w:rsid w:val="00F04389"/>
    <w:rsid w:val="00F17714"/>
    <w:rsid w:val="00F86327"/>
    <w:rsid w:val="00FE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176D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680"/>
  </w:style>
  <w:style w:type="paragraph" w:styleId="Footer">
    <w:name w:val="footer"/>
    <w:basedOn w:val="Normal"/>
    <w:link w:val="FooterChar"/>
    <w:uiPriority w:val="99"/>
    <w:unhideWhenUsed/>
    <w:rsid w:val="00A006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680"/>
  </w:style>
  <w:style w:type="paragraph" w:styleId="ListParagraph">
    <w:name w:val="List Paragraph"/>
    <w:basedOn w:val="Normal"/>
    <w:uiPriority w:val="34"/>
    <w:qFormat/>
    <w:rsid w:val="001F4FE4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customStyle="1" w:styleId="text-token-text-secondary">
    <w:name w:val="text-token-text-secondary"/>
    <w:basedOn w:val="DefaultParagraphFont"/>
    <w:rsid w:val="001F4FE4"/>
  </w:style>
  <w:style w:type="character" w:styleId="Hyperlink">
    <w:name w:val="Hyperlink"/>
    <w:basedOn w:val="DefaultParagraphFont"/>
    <w:uiPriority w:val="99"/>
    <w:unhideWhenUsed/>
    <w:rsid w:val="001F4FE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F4FE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F4FE4"/>
    <w:rPr>
      <w:b/>
      <w:bCs/>
    </w:rPr>
  </w:style>
  <w:style w:type="character" w:styleId="UnresolvedMention">
    <w:name w:val="Unresolved Mention"/>
    <w:basedOn w:val="DefaultParagraphFont"/>
    <w:uiPriority w:val="99"/>
    <w:rsid w:val="00BD08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3" ma:contentTypeDescription="Create a new document." ma:contentTypeScope="" ma:versionID="263de4db15e980f31c7a9f0e35eb1966">
  <xsd:schema xmlns:xsd="http://www.w3.org/2001/XMLSchema" xmlns:xs="http://www.w3.org/2001/XMLSchema" xmlns:p="http://schemas.microsoft.com/office/2006/metadata/properties" xmlns:ns2="e1558a10-1879-455f-b4fa-cfdedf85505e" targetNamespace="http://schemas.microsoft.com/office/2006/metadata/properties" ma:root="true" ma:fieldsID="a929d5d4558f9b725dc8e1c5ef0a4e28" ns2:_="">
    <xsd:import namespace="e1558a10-1879-455f-b4fa-cfdedf8550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58a10-1879-455f-b4fa-cfdedf8550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16354C-C618-42C0-890C-B79BDC3B5D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558a10-1879-455f-b4fa-cfdedf8550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E5F3B5-F71C-B54D-921B-25B8BE513B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C96887-8CC6-4F7F-BF09-CD8A4A0BF1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B38FABD-2EB8-4C41-9791-D9CBE1419B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Huber</dc:creator>
  <cp:keywords/>
  <dc:description/>
  <cp:lastModifiedBy>John Quinn</cp:lastModifiedBy>
  <cp:revision>26</cp:revision>
  <dcterms:created xsi:type="dcterms:W3CDTF">2025-08-23T21:06:00Z</dcterms:created>
  <dcterms:modified xsi:type="dcterms:W3CDTF">2026-05-22T01:37:00Z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