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Acquisition Due Diligence: Related-Party Accounting Questions</w:t>
      </w:r>
    </w:p>
    <w:p>
      <w:r>
        <w:t>To: SSLC Board of Directors and SSLC's accounting firm (A La Carte Solutions; Singer Lewak / Welch &amp; Co. as applicable)</w:t>
        <w:br/>
        <w:t>From: John M. Quinn, SSLC Director; Cofounder &amp; CEO, Exos Aerospace Systems &amp; Technologies, Inc.</w:t>
        <w:br/>
        <w:t>Date: October 12, 2026</w:t>
        <w:br/>
        <w:t>Re: Balances owed to Microcosm, Inc. and Microcosm Astronautics Books: confirmatory diligence for the proposed asset acquisition</w:t>
      </w:r>
    </w:p>
    <w:p>
      <w:r>
        <w:t>As part of Exos's confirmatory diligence, we ask SSLC to document and explain the balances below. These are accounting questions, raised so that every shareholder (including Exos, an 18.06% holder) can rely on the figures used at close. All figures are from SSLC's QuickBooks (Balance Sheet as of 10/11/2026; Transaction Detail by Account, 1/1/2024–10/12/2026). Information stays confidential under the July 27, 2021 NDA.</w:t>
      </w:r>
    </w:p>
    <w:p>
      <w:pPr>
        <w:pStyle w:val="Heading2"/>
      </w:pPr>
      <w:r>
        <w:t>1. Financial position (per SSLC's books)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Cash (10/11/2026)</w:t>
            </w:r>
          </w:p>
        </w:tc>
        <w:tc>
          <w:tcPr>
            <w:tcW w:type="dxa" w:w="4320"/>
          </w:tcPr>
          <w:p>
            <w:r>
              <w:t>$590,344</w:t>
            </w:r>
          </w:p>
        </w:tc>
      </w:tr>
      <w:tr>
        <w:tc>
          <w:tcPr>
            <w:tcW w:type="dxa" w:w="4320"/>
          </w:tcPr>
          <w:p>
            <w:r>
              <w:t>AR Unbilled, billed ahead of work (10/11/2026)</w:t>
            </w:r>
          </w:p>
        </w:tc>
        <w:tc>
          <w:tcPr>
            <w:tcW w:type="dxa" w:w="4320"/>
          </w:tcPr>
          <w:p>
            <w:r>
              <w:t>($942,177)</w:t>
            </w:r>
          </w:p>
        </w:tc>
      </w:tr>
      <w:tr>
        <w:tc>
          <w:tcPr>
            <w:tcW w:type="dxa" w:w="4320"/>
          </w:tcPr>
          <w:p>
            <w:r>
              <w:t>Customer deposits</w:t>
            </w:r>
          </w:p>
        </w:tc>
        <w:tc>
          <w:tcPr>
            <w:tcW w:type="dxa" w:w="4320"/>
          </w:tcPr>
          <w:p>
            <w:r>
              <w:t>$120,000</w:t>
            </w:r>
          </w:p>
        </w:tc>
      </w:tr>
      <w:tr>
        <w:tc>
          <w:tcPr>
            <w:tcW w:type="dxa" w:w="4320"/>
          </w:tcPr>
          <w:p>
            <w:r>
              <w:t>Due to Microcosm, Inc. (2385)</w:t>
            </w:r>
          </w:p>
        </w:tc>
        <w:tc>
          <w:tcPr>
            <w:tcW w:type="dxa" w:w="4320"/>
          </w:tcPr>
          <w:p>
            <w:r>
              <w:t>$451,429</w:t>
            </w:r>
          </w:p>
        </w:tc>
      </w:tr>
      <w:tr>
        <w:tc>
          <w:tcPr>
            <w:tcW w:type="dxa" w:w="4320"/>
          </w:tcPr>
          <w:p>
            <w:r>
              <w:t>Notes Payable, Bookstore / Microcosm Astronautics Books (2700)</w:t>
            </w:r>
          </w:p>
        </w:tc>
        <w:tc>
          <w:tcPr>
            <w:tcW w:type="dxa" w:w="4320"/>
          </w:tcPr>
          <w:p>
            <w:r>
              <w:t>$320,582</w:t>
            </w:r>
          </w:p>
        </w:tc>
      </w:tr>
      <w:tr>
        <w:tc>
          <w:tcPr>
            <w:tcW w:type="dxa" w:w="4320"/>
          </w:tcPr>
          <w:p>
            <w:r>
              <w:t>Loan Payable, Wertz (2714)</w:t>
            </w:r>
          </w:p>
        </w:tc>
        <w:tc>
          <w:tcPr>
            <w:tcW w:type="dxa" w:w="4320"/>
          </w:tcPr>
          <w:p>
            <w:r>
              <w:t>$92,500</w:t>
            </w:r>
          </w:p>
        </w:tc>
      </w:tr>
      <w:tr>
        <w:tc>
          <w:tcPr>
            <w:tcW w:type="dxa" w:w="4320"/>
          </w:tcPr>
          <w:p>
            <w:r>
              <w:t>SBA EIDL (2712)</w:t>
            </w:r>
          </w:p>
        </w:tc>
        <w:tc>
          <w:tcPr>
            <w:tcW w:type="dxa" w:w="4320"/>
          </w:tcPr>
          <w:p>
            <w:r>
              <w:t>$132,072</w:t>
            </w:r>
          </w:p>
        </w:tc>
      </w:tr>
      <w:tr>
        <w:tc>
          <w:tcPr>
            <w:tcW w:type="dxa" w:w="4320"/>
          </w:tcPr>
          <w:p>
            <w:r>
              <w:t>Loan Payable, Exos (2720), past due</w:t>
            </w:r>
          </w:p>
        </w:tc>
        <w:tc>
          <w:tcPr>
            <w:tcW w:type="dxa" w:w="4320"/>
          </w:tcPr>
          <w:p>
            <w:r>
              <w:t>$31,200 + interest</w:t>
            </w:r>
          </w:p>
        </w:tc>
      </w:tr>
      <w:tr>
        <w:tc>
          <w:tcPr>
            <w:tcW w:type="dxa" w:w="4320"/>
          </w:tcPr>
          <w:p>
            <w:r>
              <w:t>Total liabilities</w:t>
            </w:r>
          </w:p>
        </w:tc>
        <w:tc>
          <w:tcPr>
            <w:tcW w:type="dxa" w:w="4320"/>
          </w:tcPr>
          <w:p>
            <w:r>
              <w:t>$1,296,521</w:t>
            </w:r>
          </w:p>
        </w:tc>
      </w:tr>
      <w:tr>
        <w:tc>
          <w:tcPr>
            <w:tcW w:type="dxa" w:w="4320"/>
          </w:tcPr>
          <w:p>
            <w:r>
              <w:t>Total paid-in capital (Common $1,010,423 + APIC $4,042)</w:t>
            </w:r>
          </w:p>
        </w:tc>
        <w:tc>
          <w:tcPr>
            <w:tcW w:type="dxa" w:w="4320"/>
          </w:tcPr>
          <w:p>
            <w:r>
              <w:t>$1,014,465</w:t>
            </w:r>
          </w:p>
        </w:tc>
      </w:tr>
      <w:tr>
        <w:tc>
          <w:tcPr>
            <w:tcW w:type="dxa" w:w="4320"/>
          </w:tcPr>
          <w:p>
            <w:r>
              <w:t>Retained earnings / FY27 YTD net income</w:t>
            </w:r>
          </w:p>
        </w:tc>
        <w:tc>
          <w:tcPr>
            <w:tcW w:type="dxa" w:w="4320"/>
          </w:tcPr>
          <w:p>
            <w:r>
              <w:t>($2,571,013) / $112,666</w:t>
            </w:r>
          </w:p>
        </w:tc>
      </w:tr>
      <w:tr>
        <w:tc>
          <w:tcPr>
            <w:tcW w:type="dxa" w:w="4320"/>
          </w:tcPr>
          <w:p>
            <w:r>
              <w:t>Total equity</w:t>
            </w:r>
          </w:p>
        </w:tc>
        <w:tc>
          <w:tcPr>
            <w:tcW w:type="dxa" w:w="4320"/>
          </w:tcPr>
          <w:p>
            <w:r>
              <w:t>($1,443,882)</w:t>
            </w:r>
          </w:p>
        </w:tc>
      </w:tr>
      <w:tr>
        <w:tc>
          <w:tcPr>
            <w:tcW w:type="dxa" w:w="4320"/>
          </w:tcPr>
          <w:p>
            <w:r>
              <w:t>Microcosm receivable (1435) / Loan to Microcosm (1481)</w:t>
            </w:r>
          </w:p>
        </w:tc>
        <w:tc>
          <w:tcPr>
            <w:tcW w:type="dxa" w:w="4320"/>
          </w:tcPr>
          <w:p>
            <w:r>
              <w:t>$3,529 / $0</w:t>
            </w:r>
          </w:p>
        </w:tc>
      </w:tr>
    </w:tbl>
    <w:p>
      <w:pPr>
        <w:pStyle w:val="Heading2"/>
      </w:pPr>
      <w:r>
        <w:t>2. Activity with Microcosm entities (per SSLC's books)</w:t>
      </w:r>
    </w:p>
    <w:p>
      <w:pPr>
        <w:pStyle w:val="ListBullet"/>
      </w:pPr>
      <w:r>
        <w:t>Cash paid by SSLC to Microcosm, Inc. / Microcosm Astronautics Books: $598,794 (2024), $687,286 (2025), $26,136 (2026 YTD).</w:t>
      </w:r>
    </w:p>
    <w:p>
      <w:pPr>
        <w:pStyle w:val="ListBullet"/>
      </w:pPr>
      <w:r>
        <w:t>Facility costs carried by SSLC (rent, utilities, misc. facilities): $235,037 (2024), $321,547 (2025), $248,553 (2026 YTD), about $805K in total. These were paid through Microcosm invoices through December 2025 and directly to the landlords since January 2026.</w:t>
      </w:r>
    </w:p>
    <w:p>
      <w:pPr>
        <w:pStyle w:val="ListBullet"/>
      </w:pPr>
      <w:r>
        <w:t>No facility costs are charged back to Microcosm on SSLC's books, although Microcosm continues to occupy and be identified at 3111 Lomita Blvd.</w:t>
      </w:r>
    </w:p>
    <w:p>
      <w:pPr>
        <w:pStyle w:val="ListBullet"/>
      </w:pPr>
      <w:r>
        <w:t>4/30/2026 vendor credit: $426,687.03 reclassified from Accounts Payable (Microcosm Inc) to 2385 Due to Microcosm.</w:t>
      </w:r>
    </w:p>
    <w:p>
      <w:pPr>
        <w:pStyle w:val="ListBullet"/>
      </w:pPr>
      <w:r>
        <w:t>4/30/2026: $97,301.73 of interest owed to Microcosm Astronautics Books moved into 2700 Notes Payable–Bookstore.</w:t>
      </w:r>
    </w:p>
    <w:p>
      <w:pPr>
        <w:pStyle w:val="ListBullet"/>
      </w:pPr>
      <w:r>
        <w:t>4/30/2026: $32,945.99 of 1481 Loan to Microcosm offset against Accounts Payable ('Offset reimbursable against loan').</w:t>
      </w:r>
    </w:p>
    <w:p>
      <w:pPr>
        <w:pStyle w:val="ListBullet"/>
      </w:pPr>
      <w:r>
        <w:t>2026 monthly Microcosm invoices booked to 2385 (e.g., "Judy's assistance with SSLC accounting", "AP Paid by Mic"): about $24.7K.</w:t>
      </w:r>
    </w:p>
    <w:p>
      <w:pPr>
        <w:pStyle w:val="Heading2"/>
      </w:pPr>
      <w:r>
        <w:t>3. Questions for SSLC and its accounting firm</w:t>
      </w:r>
    </w:p>
    <w:p>
      <w:r>
        <w:t>1. Please provide the invoice-level detail (date, invoice number, description, amount, payments applied) supporting the $426,687 reclassified to Due to Microcosm on 4/30/2026, and the full $451,429 balance.</w:t>
      </w:r>
    </w:p>
    <w:p>
      <w:r>
        <w:t>2. What goods or services does each Microcosm invoice represent (rent pass-through, labor, materials, accounting, other)? For any labor, which SSLC jobs did it support?</w:t>
      </w:r>
    </w:p>
    <w:p>
      <w:r>
        <w:t>3. Who approved the 4/30/2026 entries (the $426,687 reclass, the $97,302 interest capitalization, the $32,946 offset)? Please provide any board minutes or written consents authorizing them.</w:t>
      </w:r>
    </w:p>
    <w:p>
      <w:r>
        <w:t>4. What agreement governs Microcosm's use of the shared facility at 3111 Lomita Blvd (lease, sublease, cost-sharing)? What square footage and share does each company occupy, and why is no portion of rent, utilities or facility costs charged to Microcosm?</w:t>
      </w:r>
    </w:p>
    <w:p>
      <w:r>
        <w:t>5. For the ~$1.31M paid to Microcosm entities in 2024–2025: please break it down by category and invoice, and identify any amounts that were Microcosm's own costs.</w:t>
      </w:r>
    </w:p>
    <w:p>
      <w:r>
        <w:t>6. Bookstore note ($320,582): please provide the note, its terms (principal, rate, maturity, security), the borrowing history, and the basis and approval for capitalizing $97,302 of interest.</w:t>
      </w:r>
    </w:p>
    <w:p>
      <w:r>
        <w:t>7. Wertz loan ($92,500): please provide the note, terms and any approvals.</w:t>
      </w:r>
    </w:p>
    <w:p>
      <w:r>
        <w:t>8. Were any of these related-party arrangements disclosed to and approved by the disinterested directors or the shareholders (Cal. Corp. Code §310)? Please provide the records.</w:t>
      </w:r>
    </w:p>
    <w:p>
      <w:r>
        <w:t>9. Are any amounts owed BY Microcosm or Microcosm Astronautics Books TO SSLC (shared costs, reimbursables, the former 1481 loan) that are not booked?</w:t>
      </w:r>
    </w:p>
    <w:p>
      <w:r>
        <w:t>11. Rent split: from January to June 2024 SSLC paid Microcosm $11,470/month, about 50% of the $23,647 facility rent. From July 2024 SSLC paid 100% ($23,647/month, then $24,238 in 2025, then $24,844 paid directly to the landlords in 2026). What changed in July 2024, who approved it, and why is Microcosm's ~50% share (~$316K of rent plus ~$35K of utilities, July 2024–August 2026) not credited against the $451,429 Due to Microcosm?</w:t>
      </w:r>
      <w:r>
        <w:t xml:space="preserve"> Utilities show the same pattern: about $1,059/month in January–June 2024, then about $2,727/month from July 2024.</w:t>
      </w:r>
    </w:p>
    <w:p>
      <w:r>
        <w:t>12. Loan to Microcosm (1481): SSLC's books show SSLC lent Microcosm $812,699 between 2019 and October 2025 (booked 4/30/2026), then netted it entirely on 4/30/2026 against Microcosm balances ($294,499 Loan Payable–Microcosm; $423,965 pre-6/2025 reimbursables; $61,290 "Judy's time"; $32,946 reimbursable). Please provide the invoices supporting each offset balance, and confirm why $451,429 remains due to Microcosm after SSLC's $812,699 of loans.</w:t>
      </w:r>
    </w:p>
    <w:p>
      <w:r>
        <w:t>13. Please confirm that no related-party debt will be repaid, prepaid or secured before close without disinterested-director approval.</w:t>
      </w:r>
    </w:p>
    <w:p>
      <w:r>
        <w:t xml:space="preserve">14. Why were SSLC’s loans to Microcosm recorded in 1480 Workman’s Comp Over/Under rather than a receivable? Please provide the 2019–2023 transfers, the support for the pre-2024 $294,499 Loan Payable–Microcosm, and the approvals for JEs #25925/#25926 (6/30/2025) and the 2026 Microcosm loans and repayments.</w:t>
      </w:r>
    </w:p>
    <w:p>
      <w:pPr>
        <w:pStyle w:val="Heading2"/>
      </w:pPr>
      <w:r>
        <w:t>4. Requested documents (by October 15, 2026, with the QuickBooks access request)</w:t>
      </w:r>
    </w:p>
    <w:p>
      <w:pPr>
        <w:pStyle w:val="ListBullet"/>
      </w:pPr>
      <w:r>
        <w:t>Vendor ledgers and all invoices for Microcosm, Inc. and Microcosm Astronautics Books, Jan 2024 to date</w:t>
      </w:r>
    </w:p>
    <w:p>
      <w:pPr>
        <w:pStyle w:val="ListBullet"/>
      </w:pPr>
      <w:r>
        <w:t>Leases, subleases and any cost-sharing or services agreements with Microcosm entities</w:t>
      </w:r>
    </w:p>
    <w:p>
      <w:pPr>
        <w:pStyle w:val="ListBullet"/>
      </w:pPr>
      <w:r>
        <w:t>Notes and loan agreements: Bookstore, Wertz, Microcosm</w:t>
      </w:r>
    </w:p>
    <w:p>
      <w:pPr>
        <w:pStyle w:val="ListBullet"/>
      </w:pPr>
      <w:r>
        <w:t>Board minutes and resolutions relating to Microcosm/Bookstore transactions and the 4/30/2026 entries</w:t>
      </w:r>
    </w:p>
    <w:p>
      <w:pPr>
        <w:pStyle w:val="ListBullet"/>
      </w:pPr>
      <w:r>
        <w:t>Stock ledger, cap table and subscription agreements (paid-in capital by shareholder)</w:t>
      </w:r>
    </w:p>
    <w:p>
      <w:r>
        <w:t>These questions are raised as standard acquisition diligence so that the figures used at close are complete and supportable. Once answered, Exos will share its reconciliation with all directors.</w:t>
      </w:r>
    </w:p>
    <w:p>
      <w:r>
        <w:br/>
        <w:t>John M. Quinn</w:t>
        <w:br/>
        <w:t>Director, Scorpius Space Launch Company</w:t>
        <w:br/>
        <w:t>Cofounder &amp; CEO, Exos Aerospace Systems &amp; Technologies,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