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120"/>
        <w:jc w:val="center"/>
      </w:pPr>
      <w:r>
        <w:rP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20"/>
                    <a:stretch>
                      <a:fillRect/>
                    </a:stretch>
                  </pic:blipFill>
                  <pic:spPr>
                    <a:xfrm>
                      <a:off x="0" y="0"/>
                      <a:ext cx="4572000" cy="944009"/>
                    </a:xfrm>
                    <a:prstGeom prst="rect"/>
                  </pic:spPr>
                </pic:pic>
              </a:graphicData>
            </a:graphic>
          </wp:inline>
        </w:drawing>
      </w:r>
    </w:p>
    <w:p w14:paraId="5591E62F" w14:textId="77777777" w:rsidR="00E850B1" w:rsidRDefault="00E850B1">
      <w:pPr>
        <w:widowControl/>
        <w:rPr>
          <w:rFonts w:ascii="arial;sans-serif" w:hAnsi="arial;sans-serif"/>
          <w:color w:val="222222"/>
        </w:rPr>
      </w:pPr>
    </w:p>
    <w:p w14:paraId="593881E6" w14:textId="77777777" w:rsidR="00E850B1" w:rsidRDefault="00E850B1">
      <w:pPr>
        <w:widowControl/>
        <w:rPr>
          <w:rFonts w:ascii="arial;sans-serif" w:hAnsi="arial;sans-serif"/>
          <w:color w:val="222222"/>
        </w:rPr>
      </w:pPr>
    </w:p>
    <w:p w14:paraId="67DC32D0" w14:textId="77777777" w:rsidR="00E850B1" w:rsidRDefault="00E850B1">
      <w:pPr>
        <w:widowControl/>
        <w:rPr>
          <w:rFonts w:ascii="arial;sans-serif" w:hAnsi="arial;sans-serif"/>
          <w:color w:val="222222"/>
        </w:rPr>
      </w:pPr>
    </w:p>
    <w:p w14:paraId="059642BD" w14:textId="77777777" w:rsidR="00E850B1" w:rsidRDefault="00E850B1">
      <w:pPr>
        <w:widowControl/>
        <w:rPr>
          <w:rFonts w:ascii="arial;sans-serif" w:hAnsi="arial;sans-serif"/>
          <w:b/>
          <w:color w:val="222222"/>
          <w:u w:val="single"/>
        </w:rPr>
      </w:pPr>
    </w:p>
    <w:p w14:paraId="708AF2B9" w14:textId="77777777" w:rsidR="00E850B1" w:rsidRDefault="00DA36AF">
      <w:pPr>
        <w:widowControl/>
        <w:rPr>
          <w:rFonts w:ascii="arial;sans-serif" w:hAnsi="arial;sans-serif"/>
          <w:b/>
          <w:color w:val="222222"/>
          <w:u w:val="single"/>
        </w:rPr>
      </w:pPr>
      <w:r>
        <w:rPr>
          <w:rFonts w:ascii="arial;sans-serif" w:hAnsi="arial;sans-serif"/>
          <w:b/>
          <w:color w:val="222222"/>
          <w:u w:val="single"/>
        </w:rPr>
        <w:t>Payload Onboarding Process:</w:t>
      </w:r>
    </w:p>
    <w:p w14:paraId="1D8E878A" w14:textId="77777777" w:rsidR="00E850B1" w:rsidRDefault="00E850B1">
      <w:pPr>
        <w:widowControl/>
        <w:rPr>
          <w:rFonts w:ascii="arial;sans-serif" w:hAnsi="arial;sans-serif"/>
          <w:color w:val="222222"/>
        </w:rPr>
      </w:pPr>
    </w:p>
    <w:p w14:paraId="7FF274FF" w14:textId="77777777" w:rsidR="00E850B1" w:rsidRDefault="00DA36AF">
      <w:pPr>
        <w:widowControl/>
        <w:rPr>
          <w:rFonts w:ascii="arial;sans-serif" w:hAnsi="arial;sans-serif"/>
          <w:color w:val="222222"/>
        </w:rPr>
      </w:pPr>
      <w:r>
        <w:rPr>
          <w:rFonts w:ascii="arial;sans-serif" w:hAnsi="arial;sans-serif"/>
          <w:color w:val="222222"/>
        </w:rPr>
        <w:t>To initiate the onboarding process of the client payload, EXOS shall begin as follows.</w:t>
      </w:r>
    </w:p>
    <w:p w14:paraId="137F5FDD" w14:textId="77777777" w:rsidR="00E850B1" w:rsidRDefault="00E850B1">
      <w:pPr>
        <w:widowControl/>
        <w:rPr>
          <w:rFonts w:ascii="arial;sans-serif" w:hAnsi="arial;sans-serif"/>
          <w:color w:val="222222"/>
          <w:u w:val="single"/>
        </w:rPr>
      </w:pPr>
    </w:p>
    <w:p w14:paraId="188D5344" w14:textId="77777777" w:rsidR="00E850B1" w:rsidRDefault="00DA36AF">
      <w:pPr>
        <w:widowControl/>
        <w:rPr>
          <w:rFonts w:ascii="arial;sans-serif" w:hAnsi="arial;sans-serif"/>
          <w:color w:val="222222"/>
          <w:u w:val="single"/>
        </w:rPr>
      </w:pPr>
      <w:r>
        <w:rPr>
          <w:rFonts w:ascii="arial;sans-serif" w:hAnsi="arial;sans-serif"/>
          <w:color w:val="222222"/>
          <w:u w:val="single"/>
        </w:rPr>
        <w:t>#1: Payload Guide Review</w:t>
      </w:r>
    </w:p>
    <w:p w14:paraId="00C0111A" w14:textId="77777777" w:rsidR="00E850B1" w:rsidRDefault="00E850B1">
      <w:pPr>
        <w:widowControl/>
        <w:rPr>
          <w:rFonts w:ascii="arial;sans-serif" w:hAnsi="arial;sans-serif"/>
          <w:color w:val="222222"/>
          <w:u w:val="single"/>
        </w:rPr>
      </w:pPr>
    </w:p>
    <w:p w14:paraId="635CCB2A" w14:textId="19F3C212" w:rsidR="00E850B1" w:rsidRDefault="000A07FF">
      <w:pPr>
        <w:widowControl/>
        <w:spacing w:after="283"/>
      </w:pPr>
      <w:r>
        <w:rPr>
          <w:rFonts w:ascii="arial;sans-serif" w:hAnsi="arial;sans-serif"/>
          <w:color w:val="222222"/>
        </w:rPr>
        <w:t>The c</w:t>
      </w:r>
      <w:r w:rsidR="00DA36AF">
        <w:rPr>
          <w:rFonts w:ascii="arial;sans-serif" w:hAnsi="arial;sans-serif"/>
          <w:color w:val="222222"/>
        </w:rPr>
        <w:t xml:space="preserve">lient will review </w:t>
      </w:r>
      <w:r>
        <w:rPr>
          <w:rFonts w:ascii="arial;sans-serif" w:hAnsi="arial;sans-serif"/>
          <w:color w:val="222222"/>
        </w:rPr>
        <w:t xml:space="preserve">the </w:t>
      </w:r>
      <w:r w:rsidR="00DA36AF">
        <w:rPr>
          <w:rFonts w:ascii="arial;sans-serif" w:hAnsi="arial;sans-serif"/>
          <w:color w:val="222222"/>
        </w:rPr>
        <w:t xml:space="preserve">EXOS Payload User's Guide (PUG) linked at </w:t>
      </w:r>
      <w:hyperlink r:id="rId7">
        <w:r w:rsidR="00DA36AF">
          <w:rPr>
            <w:rStyle w:val="InternetLink"/>
            <w:rFonts w:ascii="arial;sans-serif" w:hAnsi="arial;sans-serif"/>
            <w:color w:val="1155CC"/>
          </w:rPr>
          <w:t>www.exosaero.com/pug</w:t>
        </w:r>
      </w:hyperlink>
      <w:r w:rsidR="00DA36AF">
        <w:rPr>
          <w:rFonts w:ascii="arial;sans-serif" w:hAnsi="arial;sans-serif"/>
          <w:color w:val="222222"/>
        </w:rPr>
        <w:t xml:space="preserve">.  </w:t>
      </w:r>
      <w:r>
        <w:rPr>
          <w:rFonts w:ascii="arial;sans-serif" w:hAnsi="arial;sans-serif"/>
          <w:color w:val="222222"/>
        </w:rPr>
        <w:t>The c</w:t>
      </w:r>
      <w:r w:rsidR="00DA36AF">
        <w:rPr>
          <w:rFonts w:ascii="arial;sans-serif" w:hAnsi="arial;sans-serif"/>
          <w:color w:val="222222"/>
        </w:rPr>
        <w:t xml:space="preserve">lient will be thoroughly studied </w:t>
      </w:r>
      <w:r>
        <w:rPr>
          <w:rFonts w:ascii="arial;sans-serif" w:hAnsi="arial;sans-serif"/>
          <w:color w:val="222222"/>
        </w:rPr>
        <w:t>i</w:t>
      </w:r>
      <w:r w:rsidR="00DA36AF">
        <w:rPr>
          <w:rFonts w:ascii="arial;sans-serif" w:hAnsi="arial;sans-serif"/>
          <w:color w:val="222222"/>
        </w:rPr>
        <w:t>n Chapter 4 of the PUG as follows:</w:t>
      </w:r>
    </w:p>
    <w:p w14:paraId="79EAF75A" w14:textId="77777777" w:rsidR="00E850B1" w:rsidRDefault="00DA36AF">
      <w:pPr>
        <w:pStyle w:val="BodyText"/>
        <w:widowControl/>
        <w:numPr>
          <w:ilvl w:val="0"/>
          <w:numId w:val="1"/>
        </w:numPr>
        <w:tabs>
          <w:tab w:val="left" w:pos="0"/>
        </w:tabs>
        <w:spacing w:after="0"/>
        <w:ind w:left="932"/>
        <w:rPr>
          <w:rFonts w:ascii="arial;sans-serif" w:hAnsi="arial;sans-serif"/>
          <w:color w:val="222222"/>
        </w:rPr>
      </w:pPr>
      <w:r>
        <w:rPr>
          <w:rFonts w:ascii="arial;sans-serif" w:hAnsi="arial;sans-serif"/>
          <w:color w:val="222222"/>
        </w:rPr>
        <w:t>Section 4.1 - Payload Bay dimensions &amp; environment.</w:t>
      </w:r>
    </w:p>
    <w:p w14:paraId="46202EFB" w14:textId="77777777" w:rsidR="00E850B1" w:rsidRDefault="00DA36AF">
      <w:pPr>
        <w:pStyle w:val="BodyText"/>
        <w:widowControl/>
        <w:numPr>
          <w:ilvl w:val="0"/>
          <w:numId w:val="1"/>
        </w:numPr>
        <w:tabs>
          <w:tab w:val="left" w:pos="0"/>
        </w:tabs>
        <w:ind w:left="932"/>
        <w:rPr>
          <w:rFonts w:ascii="arial;sans-serif" w:hAnsi="arial;sans-serif"/>
          <w:color w:val="222222"/>
        </w:rPr>
      </w:pPr>
      <w:r>
        <w:rPr>
          <w:rFonts w:ascii="arial;sans-serif" w:hAnsi="arial;sans-serif"/>
          <w:color w:val="222222"/>
        </w:rPr>
        <w:t>Section 4.2 - G-Force and Vibration environment of flight.</w:t>
      </w:r>
    </w:p>
    <w:p w14:paraId="5BB7339D" w14:textId="5C243A23" w:rsidR="00E850B1" w:rsidRDefault="00DA36AF">
      <w:pPr>
        <w:pStyle w:val="BodyText"/>
        <w:widowControl/>
        <w:spacing w:after="0"/>
        <w:rPr>
          <w:rFonts w:ascii="arial;sans-serif" w:hAnsi="arial;sans-serif"/>
          <w:color w:val="222222"/>
        </w:rPr>
      </w:pPr>
      <w:r>
        <w:rPr>
          <w:rFonts w:ascii="arial;sans-serif" w:hAnsi="arial;sans-serif"/>
          <w:color w:val="222222"/>
        </w:rPr>
        <w:t xml:space="preserve">It is recommended that </w:t>
      </w:r>
      <w:r w:rsidR="000A07FF">
        <w:rPr>
          <w:rFonts w:ascii="arial;sans-serif" w:hAnsi="arial;sans-serif"/>
          <w:color w:val="222222"/>
        </w:rPr>
        <w:t xml:space="preserve">the </w:t>
      </w:r>
      <w:r>
        <w:rPr>
          <w:rFonts w:ascii="arial;sans-serif" w:hAnsi="arial;sans-serif"/>
          <w:color w:val="222222"/>
        </w:rPr>
        <w:t xml:space="preserve">client also read the remainder of Chapter 4.  Likewise, </w:t>
      </w:r>
      <w:r w:rsidR="000A07FF">
        <w:rPr>
          <w:rFonts w:ascii="arial;sans-serif" w:hAnsi="arial;sans-serif"/>
          <w:color w:val="222222"/>
        </w:rPr>
        <w:t xml:space="preserve">the </w:t>
      </w:r>
      <w:r>
        <w:rPr>
          <w:rFonts w:ascii="arial;sans-serif" w:hAnsi="arial;sans-serif"/>
          <w:color w:val="222222"/>
        </w:rPr>
        <w:t xml:space="preserve">client shall study Chapter 5 to understand </w:t>
      </w:r>
      <w:r w:rsidR="000A07FF">
        <w:rPr>
          <w:rFonts w:ascii="arial;sans-serif" w:hAnsi="arial;sans-serif"/>
          <w:color w:val="222222"/>
        </w:rPr>
        <w:t xml:space="preserve">the </w:t>
      </w:r>
      <w:r>
        <w:rPr>
          <w:rFonts w:ascii="arial;sans-serif" w:hAnsi="arial;sans-serif"/>
          <w:color w:val="222222"/>
        </w:rPr>
        <w:t>EXOS payload integration process.</w:t>
      </w:r>
    </w:p>
    <w:p w14:paraId="1E440579" w14:textId="77777777" w:rsidR="00E850B1" w:rsidRDefault="00E850B1">
      <w:pPr>
        <w:pStyle w:val="BodyText"/>
        <w:widowControl/>
        <w:spacing w:after="0"/>
        <w:rPr>
          <w:rFonts w:ascii="arial;sans-serif" w:hAnsi="arial;sans-serif"/>
          <w:color w:val="222222"/>
        </w:rPr>
      </w:pPr>
    </w:p>
    <w:p w14:paraId="3292BAF7"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#2: Letter of Intent To Fly</w:t>
      </w:r>
    </w:p>
    <w:p w14:paraId="421B5E90" w14:textId="77777777" w:rsidR="00E850B1" w:rsidRDefault="00E850B1">
      <w:pPr>
        <w:pStyle w:val="BodyText"/>
        <w:widowControl/>
        <w:spacing w:after="0"/>
        <w:rPr>
          <w:rFonts w:ascii="arial;sans-serif" w:hAnsi="arial;sans-serif"/>
          <w:color w:val="222222"/>
          <w:u w:val="single"/>
        </w:rPr>
      </w:pPr>
    </w:p>
    <w:p w14:paraId="2F078312" w14:textId="70A0FFEE" w:rsidR="00E850B1" w:rsidRDefault="000A07FF">
      <w:pPr>
        <w:pStyle w:val="BodyText"/>
        <w:widowControl/>
        <w:spacing w:after="0"/>
        <w:rPr>
          <w:rFonts w:ascii="arial;sans-serif" w:hAnsi="arial;sans-serif"/>
          <w:color w:val="222222"/>
        </w:rPr>
      </w:pPr>
      <w:r>
        <w:rPr>
          <w:rFonts w:ascii="arial;sans-serif" w:hAnsi="arial;sans-serif"/>
          <w:color w:val="222222"/>
        </w:rPr>
        <w:t>The c</w:t>
      </w:r>
      <w:r w:rsidR="00DA36AF">
        <w:rPr>
          <w:rFonts w:ascii="arial;sans-serif" w:hAnsi="arial;sans-serif"/>
          <w:color w:val="222222"/>
        </w:rPr>
        <w:t xml:space="preserve">lient shall submit a letter of intent for a flight slot onboard the chosen flight of EXOS Aerospace's SARGE vehicle.  </w:t>
      </w:r>
      <w:r>
        <w:rPr>
          <w:rFonts w:ascii="arial;sans-serif" w:hAnsi="arial;sans-serif"/>
          <w:color w:val="222222"/>
        </w:rPr>
        <w:t>The c</w:t>
      </w:r>
      <w:r w:rsidR="00DA36AF">
        <w:rPr>
          <w:rFonts w:ascii="arial;sans-serif" w:hAnsi="arial;sans-serif"/>
          <w:color w:val="222222"/>
        </w:rPr>
        <w:t>lient will note in the letter the preliminary agreements on EXOS flight.</w:t>
      </w:r>
    </w:p>
    <w:p w14:paraId="4E3C0B53" w14:textId="77777777" w:rsidR="00E850B1" w:rsidRDefault="00E850B1">
      <w:pPr>
        <w:pStyle w:val="BodyText"/>
        <w:widowControl/>
        <w:spacing w:after="0"/>
        <w:rPr>
          <w:rFonts w:ascii="arial;sans-serif" w:hAnsi="arial;sans-serif"/>
          <w:color w:val="222222"/>
        </w:rPr>
      </w:pPr>
    </w:p>
    <w:p w14:paraId="708B5B6C"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#3: Technical Description of Payload</w:t>
      </w:r>
    </w:p>
    <w:p w14:paraId="2D3F2A22" w14:textId="77777777" w:rsidR="00E850B1" w:rsidRDefault="00E850B1">
      <w:pPr>
        <w:pStyle w:val="BodyText"/>
        <w:widowControl/>
        <w:spacing w:after="0"/>
        <w:rPr>
          <w:rFonts w:ascii="arial;sans-serif" w:hAnsi="arial;sans-serif"/>
          <w:color w:val="222222"/>
          <w:u w:val="single"/>
        </w:rPr>
      </w:pPr>
    </w:p>
    <w:p w14:paraId="6B402368" w14:textId="77777777" w:rsidR="00E850B1" w:rsidRDefault="00DA36AF">
      <w:pPr>
        <w:pStyle w:val="BodyText"/>
        <w:widowControl/>
        <w:rPr>
          <w:rFonts w:ascii="arial;sans-serif" w:hAnsi="arial;sans-serif"/>
          <w:color w:val="222222"/>
        </w:rPr>
      </w:pPr>
      <w:r>
        <w:rPr>
          <w:rFonts w:ascii="arial;sans-serif" w:hAnsi="arial;sans-serif"/>
          <w:color w:val="222222"/>
        </w:rPr>
        <w:t>Client shall submit a technical report on the design of the payload:</w:t>
      </w:r>
    </w:p>
    <w:p w14:paraId="169B2A72" w14:textId="01C7BEC3"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 xml:space="preserve">Engineering drawings </w:t>
      </w:r>
      <w:r w:rsidR="000A07FF">
        <w:rPr>
          <w:rFonts w:ascii="arial;sans-serif" w:hAnsi="arial;sans-serif"/>
          <w:color w:val="222222"/>
        </w:rPr>
        <w:t xml:space="preserve">or pictures (minimum) </w:t>
      </w:r>
      <w:r>
        <w:rPr>
          <w:rFonts w:ascii="arial;sans-serif" w:hAnsi="arial;sans-serif"/>
          <w:color w:val="222222"/>
        </w:rPr>
        <w:t xml:space="preserve">of </w:t>
      </w:r>
      <w:r w:rsidR="000A07FF">
        <w:rPr>
          <w:rFonts w:ascii="arial;sans-serif" w:hAnsi="arial;sans-serif"/>
          <w:color w:val="222222"/>
        </w:rPr>
        <w:t xml:space="preserve">the </w:t>
      </w:r>
      <w:r>
        <w:rPr>
          <w:rFonts w:ascii="arial;sans-serif" w:hAnsi="arial;sans-serif"/>
          <w:color w:val="222222"/>
        </w:rPr>
        <w:t xml:space="preserve">assembled </w:t>
      </w:r>
      <w:r w:rsidR="000A07FF">
        <w:rPr>
          <w:rFonts w:ascii="arial;sans-serif" w:hAnsi="arial;sans-serif"/>
          <w:color w:val="222222"/>
        </w:rPr>
        <w:t>payload</w:t>
      </w:r>
      <w:r>
        <w:rPr>
          <w:rFonts w:ascii="arial;sans-serif" w:hAnsi="arial;sans-serif"/>
          <w:color w:val="222222"/>
        </w:rPr>
        <w:t>.</w:t>
      </w:r>
    </w:p>
    <w:p w14:paraId="59B80CFD" w14:textId="19398704"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3 Spreadsheets</w:t>
      </w:r>
      <w:r w:rsidR="000A07FF">
        <w:rPr>
          <w:rFonts w:ascii="arial;sans-serif" w:hAnsi="arial;sans-serif"/>
          <w:color w:val="222222"/>
        </w:rPr>
        <w:t xml:space="preserve"> preferred to include: </w:t>
      </w:r>
    </w:p>
    <w:p w14:paraId="04D71AE2" w14:textId="45A5397E"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X, Y, Z dimensions and locations and orientations of individual components of </w:t>
      </w:r>
      <w:r w:rsidR="000A07FF">
        <w:rPr>
          <w:rFonts w:ascii="arial;sans-serif" w:hAnsi="arial;sans-serif"/>
          <w:color w:val="222222"/>
        </w:rPr>
        <w:t>the payload</w:t>
      </w:r>
      <w:r>
        <w:rPr>
          <w:rFonts w:ascii="arial;sans-serif" w:hAnsi="arial;sans-serif"/>
          <w:color w:val="222222"/>
        </w:rPr>
        <w:t>.</w:t>
      </w:r>
    </w:p>
    <w:p w14:paraId="4B2F02D4" w14:textId="0B12E201"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Weights and center of gravity of </w:t>
      </w:r>
      <w:r w:rsidR="000A07FF">
        <w:rPr>
          <w:rFonts w:ascii="arial;sans-serif" w:hAnsi="arial;sans-serif"/>
          <w:color w:val="222222"/>
        </w:rPr>
        <w:t xml:space="preserve">the </w:t>
      </w:r>
      <w:r>
        <w:rPr>
          <w:rFonts w:ascii="arial;sans-serif" w:hAnsi="arial;sans-serif"/>
          <w:color w:val="222222"/>
        </w:rPr>
        <w:t xml:space="preserve">entire assembled </w:t>
      </w:r>
      <w:proofErr w:type="spellStart"/>
      <w:r w:rsidR="000A07FF">
        <w:rPr>
          <w:rFonts w:ascii="arial;sans-serif" w:hAnsi="arial;sans-serif"/>
          <w:color w:val="222222"/>
        </w:rPr>
        <w:t>paylaod</w:t>
      </w:r>
      <w:proofErr w:type="spellEnd"/>
      <w:r>
        <w:rPr>
          <w:rFonts w:ascii="arial;sans-serif" w:hAnsi="arial;sans-serif"/>
          <w:color w:val="222222"/>
        </w:rPr>
        <w:t>.</w:t>
      </w:r>
    </w:p>
    <w:p w14:paraId="658C57BB" w14:textId="6E74EAFF"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Overall Maximum Power requirement of </w:t>
      </w:r>
      <w:r w:rsidR="000A07FF">
        <w:rPr>
          <w:rFonts w:ascii="arial;sans-serif" w:hAnsi="arial;sans-serif"/>
          <w:color w:val="222222"/>
        </w:rPr>
        <w:t xml:space="preserve">the </w:t>
      </w:r>
      <w:r>
        <w:rPr>
          <w:rFonts w:ascii="arial;sans-serif" w:hAnsi="arial;sans-serif"/>
          <w:color w:val="222222"/>
        </w:rPr>
        <w:t>device, including Amps and Volts.</w:t>
      </w:r>
    </w:p>
    <w:p w14:paraId="540E7D2B" w14:textId="77777777"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Materials Description:</w:t>
      </w:r>
    </w:p>
    <w:p w14:paraId="4AE4CB76" w14:textId="77777777"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Amount of mass of materials that are radioactive and/or biological.</w:t>
      </w:r>
    </w:p>
    <w:p w14:paraId="465E5CD6" w14:textId="1668200A" w:rsidR="00E850B1" w:rsidRDefault="00DA36AF">
      <w:pPr>
        <w:pStyle w:val="BodyText"/>
        <w:widowControl/>
        <w:numPr>
          <w:ilvl w:val="1"/>
          <w:numId w:val="2"/>
        </w:numPr>
        <w:tabs>
          <w:tab w:val="left" w:pos="0"/>
        </w:tabs>
        <w:ind w:left="1639"/>
        <w:rPr>
          <w:rFonts w:ascii="arial;sans-serif" w:hAnsi="arial;sans-serif"/>
          <w:color w:val="222222"/>
        </w:rPr>
      </w:pPr>
      <w:r>
        <w:rPr>
          <w:rFonts w:ascii="arial;sans-serif" w:hAnsi="arial;sans-serif"/>
          <w:color w:val="222222"/>
        </w:rPr>
        <w:t>Materials Safety Data Sheets for any materials in the satellite, especially radioactive and biological payloads.</w:t>
      </w:r>
    </w:p>
    <w:p w14:paraId="2D1C57F5" w14:textId="77777777" w:rsidR="00E850B1" w:rsidRDefault="00E850B1">
      <w:pPr>
        <w:pStyle w:val="BodyText"/>
        <w:widowControl/>
        <w:spacing w:after="0"/>
        <w:rPr>
          <w:rFonts w:ascii="arial;sans-serif" w:hAnsi="arial;sans-serif"/>
          <w:color w:val="222222"/>
        </w:rPr>
      </w:pPr>
    </w:p>
    <w:p w14:paraId="33672028" w14:textId="77777777" w:rsidR="00E850B1" w:rsidRDefault="00E850B1">
      <w:pPr>
        <w:pStyle w:val="BodyText"/>
        <w:widowControl/>
        <w:spacing w:after="0"/>
        <w:rPr>
          <w:rFonts w:ascii="arial;sans-serif" w:hAnsi="arial;sans-serif"/>
          <w:color w:val="222222"/>
        </w:rPr>
      </w:pPr>
    </w:p>
    <w:p w14:paraId="16496351" w14:textId="77777777" w:rsidR="00E850B1" w:rsidRDefault="00E850B1">
      <w:pPr>
        <w:pStyle w:val="BodyText"/>
        <w:widowControl/>
        <w:spacing w:after="0"/>
        <w:rPr>
          <w:rFonts w:ascii="arial;sans-serif" w:hAnsi="arial;sans-serif"/>
          <w:color w:val="222222"/>
        </w:rPr>
      </w:pPr>
    </w:p>
    <w:p w14:paraId="1873EA87" w14:textId="77777777" w:rsidR="00DA36AF" w:rsidRDefault="00DA36AF">
      <w:pPr>
        <w:pStyle w:val="BodyText"/>
        <w:widowControl/>
        <w:spacing w:after="0"/>
        <w:rPr>
          <w:rFonts w:ascii="arial;sans-serif" w:hAnsi="arial;sans-serif"/>
          <w:color w:val="222222"/>
        </w:rPr>
      </w:pPr>
    </w:p>
    <w:p w14:paraId="31F8F730" w14:textId="65FDFEDF" w:rsidR="00E850B1" w:rsidRDefault="000A07FF">
      <w:pPr>
        <w:pStyle w:val="BodyText"/>
        <w:widowControl/>
        <w:spacing w:after="0"/>
        <w:rPr>
          <w:rFonts w:ascii="arial;sans-serif" w:hAnsi="arial;sans-serif"/>
          <w:color w:val="222222"/>
        </w:rPr>
      </w:pPr>
      <w:r>
        <w:rPr>
          <w:rFonts w:ascii="arial;sans-serif" w:hAnsi="arial;sans-serif"/>
          <w:color w:val="222222"/>
        </w:rPr>
        <w:t>The c</w:t>
      </w:r>
      <w:r w:rsidR="00DA36AF">
        <w:rPr>
          <w:rFonts w:ascii="arial;sans-serif" w:hAnsi="arial;sans-serif"/>
          <w:color w:val="222222"/>
        </w:rPr>
        <w:t>lient shall also fill out the payload questionnaire as well (</w:t>
      </w:r>
      <w:r>
        <w:rPr>
          <w:rFonts w:ascii="arial;sans-serif" w:hAnsi="arial;sans-serif"/>
          <w:color w:val="222222"/>
        </w:rPr>
        <w:t>'</w:t>
      </w:r>
      <w:r w:rsidR="00DA36AF">
        <w:rPr>
          <w:rFonts w:ascii="arial;sans-serif" w:hAnsi="arial;sans-serif"/>
          <w:color w:val="222222"/>
        </w:rPr>
        <w:t>EXOS Payload Data Sheet</w:t>
      </w:r>
      <w:r>
        <w:rPr>
          <w:rFonts w:ascii="arial;sans-serif" w:hAnsi="arial;sans-serif"/>
          <w:color w:val="222222"/>
        </w:rPr>
        <w:t>'</w:t>
      </w:r>
      <w:r w:rsidR="00DA36AF">
        <w:rPr>
          <w:rFonts w:ascii="arial;sans-serif" w:hAnsi="arial;sans-serif"/>
          <w:color w:val="222222"/>
        </w:rPr>
        <w:t>).</w:t>
      </w:r>
    </w:p>
    <w:p w14:paraId="372FC47B" w14:textId="77777777" w:rsidR="00E850B1" w:rsidRDefault="00E850B1">
      <w:pPr>
        <w:pStyle w:val="BodyText"/>
        <w:widowControl/>
        <w:spacing w:after="0"/>
        <w:rPr>
          <w:rFonts w:ascii="arial;sans-serif" w:hAnsi="arial;sans-serif"/>
          <w:color w:val="222222"/>
        </w:rPr>
      </w:pPr>
    </w:p>
    <w:p w14:paraId="3E916692" w14:textId="427FF604" w:rsidR="00E850B1" w:rsidRDefault="00DA36AF">
      <w:pPr>
        <w:pStyle w:val="BodyText"/>
        <w:widowControl/>
        <w:spacing w:after="0"/>
        <w:rPr>
          <w:rFonts w:ascii="arial;sans-serif" w:hAnsi="arial;sans-serif"/>
          <w:color w:val="222222"/>
        </w:rPr>
      </w:pPr>
      <w:r>
        <w:rPr>
          <w:rFonts w:ascii="arial;sans-serif" w:hAnsi="arial;sans-serif"/>
          <w:color w:val="222222"/>
        </w:rPr>
        <w:t xml:space="preserve">Once EXOS has received the technical description of the payload and EXOS Engineering Team has reviewed the documents, </w:t>
      </w:r>
      <w:r w:rsidR="00444FD1">
        <w:rPr>
          <w:rFonts w:ascii="arial;sans-serif" w:hAnsi="arial;sans-serif"/>
          <w:color w:val="222222"/>
        </w:rPr>
        <w:t>Exos will initiate a Launch and Payload Integration Services Agreement.  Once signed and Milestone 1a completed (including receipt of initial payment)</w:t>
      </w:r>
      <w:r w:rsidR="000A07FF">
        <w:rPr>
          <w:rFonts w:ascii="arial;sans-serif" w:hAnsi="arial;sans-serif"/>
          <w:color w:val="222222"/>
        </w:rPr>
        <w:t>,</w:t>
      </w:r>
      <w:r w:rsidR="00444FD1">
        <w:rPr>
          <w:rFonts w:ascii="arial;sans-serif" w:hAnsi="arial;sans-serif"/>
          <w:color w:val="222222"/>
        </w:rPr>
        <w:t xml:space="preserve"> </w:t>
      </w:r>
      <w:r>
        <w:rPr>
          <w:rFonts w:ascii="arial;sans-serif" w:hAnsi="arial;sans-serif"/>
          <w:color w:val="222222"/>
        </w:rPr>
        <w:t xml:space="preserve">client and EXOS shall </w:t>
      </w:r>
      <w:r w:rsidR="00444FD1">
        <w:rPr>
          <w:rFonts w:ascii="arial;sans-serif" w:hAnsi="arial;sans-serif"/>
          <w:color w:val="222222"/>
        </w:rPr>
        <w:t xml:space="preserve">hold a payload meeting to continue </w:t>
      </w:r>
      <w:r w:rsidR="000A07FF">
        <w:rPr>
          <w:rFonts w:ascii="arial;sans-serif" w:hAnsi="arial;sans-serif"/>
          <w:color w:val="222222"/>
        </w:rPr>
        <w:t xml:space="preserve">the </w:t>
      </w:r>
      <w:r w:rsidR="00444FD1">
        <w:rPr>
          <w:rFonts w:ascii="arial;sans-serif" w:hAnsi="arial;sans-serif"/>
          <w:color w:val="222222"/>
        </w:rPr>
        <w:t xml:space="preserve">process through to </w:t>
      </w:r>
      <w:r>
        <w:rPr>
          <w:rFonts w:ascii="arial;sans-serif" w:hAnsi="arial;sans-serif"/>
          <w:color w:val="222222"/>
        </w:rPr>
        <w:t>accept</w:t>
      </w:r>
      <w:r w:rsidR="00444FD1">
        <w:rPr>
          <w:rFonts w:ascii="arial;sans-serif" w:hAnsi="arial;sans-serif"/>
          <w:color w:val="222222"/>
        </w:rPr>
        <w:t>ance,</w:t>
      </w:r>
      <w:r>
        <w:rPr>
          <w:rFonts w:ascii="arial;sans-serif" w:hAnsi="arial;sans-serif"/>
          <w:color w:val="222222"/>
        </w:rPr>
        <w:t xml:space="preserve"> delivery</w:t>
      </w:r>
      <w:r w:rsidR="000A07FF">
        <w:rPr>
          <w:rFonts w:ascii="arial;sans-serif" w:hAnsi="arial;sans-serif"/>
          <w:color w:val="222222"/>
        </w:rPr>
        <w:t>,</w:t>
      </w:r>
      <w:r>
        <w:rPr>
          <w:rFonts w:ascii="arial;sans-serif" w:hAnsi="arial;sans-serif"/>
          <w:color w:val="222222"/>
        </w:rPr>
        <w:t xml:space="preserve"> and integration of client payload.</w:t>
      </w:r>
    </w:p>
    <w:p w14:paraId="6B18B83E" w14:textId="77777777" w:rsidR="00E850B1" w:rsidRDefault="00E850B1">
      <w:pPr>
        <w:pStyle w:val="BodyText"/>
        <w:widowControl/>
        <w:spacing w:after="0"/>
        <w:rPr>
          <w:rFonts w:ascii="arial;sans-serif" w:hAnsi="arial;sans-serif"/>
          <w:color w:val="222222"/>
          <w:u w:val="single"/>
        </w:rPr>
      </w:pP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 xml:space="preserve">#4: </w:t>
      </w:r>
      <w:proofErr w:type="spellStart"/>
      <w:r>
        <w:rPr>
          <w:rFonts w:ascii="arial;sans-serif" w:hAnsi="arial;sans-serif"/>
          <w:color w:val="222222"/>
          <w:u w:val="single"/>
        </w:rPr>
        <w:t>Payloading</w:t>
      </w:r>
      <w:proofErr w:type="spellEnd"/>
      <w:r>
        <w:rPr>
          <w:rFonts w:ascii="arial;sans-serif" w:hAnsi="arial;sans-serif"/>
          <w:color w:val="222222"/>
          <w:u w:val="single"/>
        </w:rPr>
        <w:t xml:space="preserve"> Process Preview</w:t>
      </w:r>
    </w:p>
    <w:p w14:paraId="5C678ECE" w14:textId="77777777" w:rsidR="00E850B1" w:rsidRDefault="00E850B1">
      <w:pPr>
        <w:pStyle w:val="BodyText"/>
        <w:widowControl/>
        <w:spacing w:after="0"/>
        <w:rPr>
          <w:rFonts w:ascii="arial;sans-serif" w:hAnsi="arial;sans-serif"/>
          <w:color w:val="222222"/>
        </w:rPr>
      </w:pP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F</w:t>
      </w:r>
      <w:r w:rsidR="00DA36AF">
        <w:rPr>
          <w:rFonts w:ascii="arial;sans-serif" w:hAnsi="arial;sans-serif"/>
          <w:color w:val="222222"/>
        </w:rPr>
        <w:t xml:space="preserve">or the payload to efficiently pass the payload review and integration process before </w:t>
      </w:r>
      <w:r>
        <w:rPr>
          <w:rFonts w:ascii="arial;sans-serif" w:hAnsi="arial;sans-serif"/>
          <w:color w:val="222222"/>
        </w:rPr>
        <w:t>the client’</w:t>
      </w:r>
      <w:r w:rsidR="00DA36AF">
        <w:rPr>
          <w:rFonts w:ascii="arial;sans-serif" w:hAnsi="arial;sans-serif"/>
          <w:color w:val="222222"/>
        </w:rPr>
        <w:t xml:space="preserve">s selected flight date, </w:t>
      </w:r>
      <w:r>
        <w:rPr>
          <w:rFonts w:ascii="arial;sans-serif" w:hAnsi="arial;sans-serif"/>
          <w:color w:val="222222"/>
        </w:rPr>
        <w:t xml:space="preserve">the </w:t>
      </w:r>
      <w:r w:rsidR="00DA36AF">
        <w:rPr>
          <w:rFonts w:ascii="arial;sans-serif" w:hAnsi="arial;sans-serif"/>
          <w:color w:val="222222"/>
        </w:rPr>
        <w:t>client shall plan to deliver the payload to EXOS</w:t>
      </w:r>
      <w:r>
        <w:rPr>
          <w:rFonts w:ascii="arial;sans-serif" w:hAnsi="arial;sans-serif"/>
          <w:color w:val="222222"/>
        </w:rPr>
        <w:t>'</w:t>
      </w:r>
      <w:r w:rsidR="00DA36AF">
        <w:rPr>
          <w:rFonts w:ascii="arial;sans-serif" w:hAnsi="arial;sans-serif"/>
          <w:color w:val="222222"/>
        </w:rPr>
        <w:t xml:space="preserve">s </w:t>
      </w:r>
      <w:r>
        <w:rPr>
          <w:rFonts w:ascii="arial;sans-serif" w:hAnsi="arial;sans-serif"/>
          <w:color w:val="222222"/>
        </w:rPr>
        <w:t>Greenville</w:t>
      </w:r>
      <w:r w:rsidR="00DA36AF">
        <w:rPr>
          <w:rFonts w:ascii="arial;sans-serif" w:hAnsi="arial;sans-serif"/>
          <w:color w:val="222222"/>
        </w:rPr>
        <w:t xml:space="preserve">, TX facility </w:t>
      </w:r>
      <w:r w:rsidR="00D7361B">
        <w:rPr>
          <w:rFonts w:ascii="arial;sans-serif" w:hAnsi="arial;sans-serif"/>
          <w:color w:val="222222"/>
        </w:rPr>
        <w:t>45</w:t>
      </w:r>
      <w:r w:rsidR="00DA36AF">
        <w:rPr>
          <w:rFonts w:ascii="arial;sans-serif" w:hAnsi="arial;sans-serif"/>
          <w:color w:val="222222"/>
        </w:rPr>
        <w:t xml:space="preserve"> days before launch.  </w:t>
      </w:r>
    </w:p>
    <w:p w14:paraId="6D881178" w14:textId="77777777" w:rsidR="00E850B1" w:rsidRDefault="00E850B1">
      <w:pPr>
        <w:pStyle w:val="BodyText"/>
        <w:widowControl/>
        <w:spacing w:after="0"/>
        <w:rPr>
          <w:rFonts w:ascii="arial;sans-serif" w:hAnsi="arial;sans-serif"/>
          <w:color w:val="222222"/>
        </w:rPr>
      </w:pPr>
    </w:p>
    <w:p w14:paraId="18132414" w14:textId="1E9DC08D" w:rsidR="00E850B1" w:rsidRDefault="00DA36AF">
      <w:pPr>
        <w:pStyle w:val="BodyText"/>
        <w:widowControl/>
        <w:spacing w:after="0"/>
        <w:rPr>
          <w:rFonts w:ascii="arial;sans-serif" w:hAnsi="arial;sans-serif"/>
          <w:color w:val="222222"/>
        </w:rPr>
      </w:pPr>
      <w:r>
        <w:rPr>
          <w:rFonts w:ascii="arial;sans-serif" w:hAnsi="arial;sans-serif"/>
          <w:color w:val="222222"/>
        </w:rPr>
        <w:t xml:space="preserve">Before </w:t>
      </w:r>
      <w:r w:rsidR="000A07FF">
        <w:rPr>
          <w:rFonts w:ascii="arial;sans-serif" w:hAnsi="arial;sans-serif"/>
          <w:color w:val="222222"/>
        </w:rPr>
        <w:t xml:space="preserve">the </w:t>
      </w:r>
      <w:r>
        <w:rPr>
          <w:rFonts w:ascii="arial;sans-serif" w:hAnsi="arial;sans-serif"/>
          <w:color w:val="222222"/>
        </w:rPr>
        <w:t xml:space="preserve">client delivers the payload, it is recommended that </w:t>
      </w:r>
      <w:r w:rsidR="000A07FF">
        <w:rPr>
          <w:rFonts w:ascii="arial;sans-serif" w:hAnsi="arial;sans-serif"/>
          <w:color w:val="222222"/>
        </w:rPr>
        <w:t xml:space="preserve">the </w:t>
      </w:r>
      <w:r>
        <w:rPr>
          <w:rFonts w:ascii="arial;sans-serif" w:hAnsi="arial;sans-serif"/>
          <w:color w:val="222222"/>
        </w:rPr>
        <w:t>client execute a G-shock and vibration mechanical load and thermal test on the payload to assure that it can pass an EXOS payload qualification test.  References to the G-shock and vibration loads and spaceflight temperature ranges are in the PUG, Chapter 4, Sections 4.1 &amp; 4.2 (</w:t>
      </w:r>
      <w:hyperlink r:id="rId8">
        <w:r>
          <w:rPr>
            <w:rStyle w:val="InternetLink"/>
            <w:rFonts w:ascii="arial;sans-serif" w:hAnsi="arial;sans-serif"/>
            <w:color w:val="1155CC"/>
          </w:rPr>
          <w:t>link</w:t>
        </w:r>
      </w:hyperlink>
      <w:r>
        <w:rPr>
          <w:rFonts w:ascii="arial;sans-serif" w:hAnsi="arial;sans-serif"/>
          <w:color w:val="222222"/>
        </w:rPr>
        <w:t>).</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#5: Reciprocal Cross-Waiver of Claims (FAA Payload Approval)</w:t>
      </w:r>
      <w:proofErr w:type="spellStart"/>
      <w:proofErr w:type="spellEnd"/>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Under the FAA's reciprocal waiver of claims requirements (14 CFR 440.17), each customer must enter into a reciprocal waiver of claims with EXOS (and, for licensed activities in which the United States is involved, with the FAA) under which each party waives claims against the others and assumes responsibility for its own property damage and its own employees' injuries resulting from the licensed activity, regardless of fault. The client must also extend the waiver to its own contractors, subcontractors and customers involved in the launch.</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The client shall deliver the ORIGINAL, WET-SIGNED cross-waiver of claims to EXOS (299 FM 1903, Greenville, TX 75402) no later than 90 days before the scheduled launch date (L-90). Electronic or e-signed copies do not satisfy this step.</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EXOS compiles the executed cross-waivers from every customer on the flight and submits them to the FAA as part of the payload review and approval for that launch. The waiver uses a form acceptable to the FAA Administrator (see FAA Advisory Circular AC 440.17-1).</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A payload will not be accepted for integration or flown until its executed cross-waiver is on file at EXOS and has been submitted to the FAA. EXOS tracks this for every order in Mission Control (Payload Orders: 'FAA cross-waiver of claims', due L-90).</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Revision History</w:t>
      </w:r>
      <w:proofErr w:type="spellStart"/>
      <w:proofErr w:type="spellEnd"/>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Rev3 — 2020-05-28 — Prior release.</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Rev4 — 2026-10-08 — APPROVED 2026-10-09 by John Quinn, Cofounder &amp; CEO: added Step #5, Reciprocal Cross-Waiver of Claims (wet-signed original at EXOS by L-90; EXOS submits all waivers to the FAA for payload approval).</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1230C7FF" w14:textId="74137541" w:rsidR="00D7361B" w:rsidRDefault="00D7361B">
      <w:pPr>
        <w:pStyle w:val="BodyText"/>
        <w:widowControl/>
        <w:spacing w:after="0"/>
      </w:pPr>
    </w:p>
    <w:p w14:paraId="315BD3EE" w14:textId="77777777" w:rsidR="00E850B1" w:rsidRDefault="00E850B1"/>
    <w:p>
      <w:pPr>
        <w:spacing w:before="200"/>
        <w:jc w:val="center"/>
      </w:pPr>
      <w:r>
        <w:rP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21"/>
                    <a:stretch>
                      <a:fillRect/>
                    </a:stretch>
                  </pic:blipFill>
                  <pic:spPr>
                    <a:xfrm>
                      <a:off x="0" y="0"/>
                      <a:ext cx="4572000" cy="750679"/>
                    </a:xfrm>
                    <a:prstGeom prst="rect"/>
                  </pic:spPr>
                </pic:pic>
              </a:graphicData>
            </a:graphic>
          </wp:inline>
        </w:drawing>
      </w:r>
    </w:p>
    <w:sectPr w:rsidR="00E850B1">
      <w:headerReference w:type="even" r:id="rId9"/>
      <w:headerReference w:type="default" r:id="rId10"/>
      <w:footerReference w:type="even" r:id="rId11"/>
      <w:footerReference w:type="default" r:id="rId12"/>
      <w:headerReference w:type="first" r:id="rId13"/>
      <w:footerReference w:type="first" r:id="rId14"/>
      <w:pgSz w:w="12240" w:h="15840"/>
      <w:pgMar w:top="864" w:right="1134" w:bottom="864" w:left="1134" w:header="1134" w:footer="1134"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B1F277" w14:textId="77777777" w:rsidR="00E812B6" w:rsidRDefault="00E812B6">
      <w:r>
        <w:separator/>
      </w:r>
    </w:p>
  </w:endnote>
  <w:endnote w:type="continuationSeparator" w:id="0">
    <w:p w14:paraId="3E3CBCF6" w14:textId="77777777" w:rsidR="00E812B6" w:rsidRDefault="00E81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OpenSymbol">
    <w:altName w:val="Arial Unicode MS"/>
    <w:charset w:val="02"/>
    <w:family w:val="auto"/>
    <w:pitch w:val="default"/>
  </w:font>
  <w:font w:name="arial;sans-serif">
    <w:altName w:val="Times New Roman"/>
    <w:panose1 w:val="00000000000000000000"/>
    <w:charset w:val="00"/>
    <w:family w:val="roman"/>
    <w:notTrueType/>
    <w:pitch w:val="default"/>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7AC0D5" w14:textId="77777777" w:rsidR="007C4D72" w:rsidRDefault="007C4D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DB1B6" w14:textId="712C1054" w:rsidR="009035EA" w:rsidRDefault="009035EA">
    <w:pPr>
      <w:widowControl/>
      <w:rPr>
        <w:rFonts w:ascii="arial;sans-serif" w:hAnsi="arial;sans-serif"/>
        <w:color w:val="222222"/>
      </w:rPr>
    </w:pPr>
    <w:proofErr w:type="gramStart"/>
    <w:proofErr w:type="gramEnd"/>
  </w:p>
  <w:p w14:paraId="646C76F7" w14:textId="77777777" w:rsidR="009035EA" w:rsidRDefault="009035EA">
    <w:pPr>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2787F" w14:textId="77777777" w:rsidR="007C4D72" w:rsidRDefault="007C4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7C1D7B" w14:textId="77777777" w:rsidR="00E812B6" w:rsidRDefault="00E812B6">
      <w:r>
        <w:separator/>
      </w:r>
    </w:p>
  </w:footnote>
  <w:footnote w:type="continuationSeparator" w:id="0">
    <w:p w14:paraId="6B4DF6B2" w14:textId="77777777" w:rsidR="00E812B6" w:rsidRDefault="00E81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9D7EE1" w14:textId="77777777" w:rsidR="007C4D72" w:rsidRDefault="007C4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A2EAB1" w14:textId="77777777" w:rsidR="009035EA" w:rsidRDefault="009035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1999A4" w14:textId="77777777" w:rsidR="007C4D72" w:rsidRDefault="007C4D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BD245B"/>
    <w:multiLevelType w:val="multilevel"/>
    <w:tmpl w:val="FAF65C1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83A247E"/>
    <w:multiLevelType w:val="multilevel"/>
    <w:tmpl w:val="8318C0E8"/>
    <w:lvl w:ilvl="0">
      <w:start w:val="1"/>
      <w:numFmt w:val="bullet"/>
      <w:lvlText w:val=""/>
      <w:lvlJc w:val="left"/>
      <w:pPr>
        <w:tabs>
          <w:tab w:val="num" w:pos="707"/>
        </w:tabs>
        <w:ind w:left="707" w:hanging="283"/>
      </w:pPr>
      <w:rPr>
        <w:rFonts w:ascii="Symbol" w:hAnsi="Symbol" w:cs="Symbol" w:hint="default"/>
        <w:b w:val="0"/>
        <w:sz w:val="24"/>
      </w:rPr>
    </w:lvl>
    <w:lvl w:ilvl="1">
      <w:start w:val="1"/>
      <w:numFmt w:val="bullet"/>
      <w:lvlText w:val=""/>
      <w:lvlJc w:val="left"/>
      <w:pPr>
        <w:tabs>
          <w:tab w:val="num" w:pos="1414"/>
        </w:tabs>
        <w:ind w:left="1414" w:hanging="283"/>
      </w:pPr>
      <w:rPr>
        <w:rFonts w:ascii="Symbol" w:hAnsi="Symbol" w:cs="Symbol" w:hint="default"/>
        <w:b w:val="0"/>
        <w:sz w:val="24"/>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15:restartNumberingAfterBreak="0">
    <w:nsid w:val="27854831"/>
    <w:multiLevelType w:val="multilevel"/>
    <w:tmpl w:val="A9360632"/>
    <w:lvl w:ilvl="0">
      <w:start w:val="1"/>
      <w:numFmt w:val="bullet"/>
      <w:lvlText w:val=""/>
      <w:lvlJc w:val="left"/>
      <w:pPr>
        <w:tabs>
          <w:tab w:val="num" w:pos="707"/>
        </w:tabs>
        <w:ind w:left="707" w:hanging="283"/>
      </w:pPr>
      <w:rPr>
        <w:rFonts w:ascii="Symbol" w:hAnsi="Symbol" w:cs="Symbol" w:hint="default"/>
        <w:b w:val="0"/>
        <w:sz w:val="24"/>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ysTAxMjUwNzE1MzdR0lEKTi0uzszPAykwrAUANHhTFiwAAAA="/>
  </w:docVars>
  <w:rsids>
    <w:rsidRoot w:val="00E850B1"/>
    <w:rsid w:val="000A07FF"/>
    <w:rsid w:val="00243B45"/>
    <w:rsid w:val="00444FD1"/>
    <w:rsid w:val="007C4D72"/>
    <w:rsid w:val="009035EA"/>
    <w:rsid w:val="00D7361B"/>
    <w:rsid w:val="00DA36AF"/>
    <w:rsid w:val="00E812B6"/>
    <w:rsid w:val="00E850B1"/>
    <w:rsid w:val="00FE5F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9AAB3"/>
  <w15:docId w15:val="{A337E881-59E8-4E53-9FFE-F02684C93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Droid Sans Fallback" w:hAnsi="Liberation Serif" w:cs="FreeSans"/>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alibri" w:hAnsi="Calibri"/>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color w:val="000080"/>
      <w:u w:val="single"/>
      <w:lang w:val="uz-Cyrl-UZ" w:eastAsia="uz-Cyrl-UZ" w:bidi="uz-Cyrl-UZ"/>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ascii="arial;sans-serif" w:hAnsi="arial;sans-serif" w:cs="Symbol"/>
      <w:b w:val="0"/>
      <w:sz w:val="24"/>
    </w:rPr>
  </w:style>
  <w:style w:type="character" w:customStyle="1" w:styleId="ListLabel2">
    <w:name w:val="ListLabel 2"/>
    <w:qFormat/>
    <w:rPr>
      <w:rFonts w:cs="Symbol"/>
    </w:rPr>
  </w:style>
  <w:style w:type="character" w:customStyle="1" w:styleId="ListLabel3">
    <w:name w:val="ListLabel 3"/>
    <w:qFormat/>
    <w:rPr>
      <w:rFonts w:cs="Symbol"/>
    </w:rPr>
  </w:style>
  <w:style w:type="character" w:customStyle="1" w:styleId="ListLabel4">
    <w:name w:val="ListLabel 4"/>
    <w:qFormat/>
    <w:rPr>
      <w:rFonts w:cs="Symbol"/>
    </w:rPr>
  </w:style>
  <w:style w:type="character" w:customStyle="1" w:styleId="ListLabel5">
    <w:name w:val="ListLabel 5"/>
    <w:qFormat/>
    <w:rPr>
      <w:rFonts w:cs="Symbol"/>
    </w:rPr>
  </w:style>
  <w:style w:type="character" w:customStyle="1" w:styleId="ListLabel6">
    <w:name w:val="ListLabel 6"/>
    <w:qFormat/>
    <w:rPr>
      <w:rFonts w:cs="Symbol"/>
    </w:rPr>
  </w:style>
  <w:style w:type="character" w:customStyle="1" w:styleId="ListLabel7">
    <w:name w:val="ListLabel 7"/>
    <w:qFormat/>
    <w:rPr>
      <w:rFonts w:cs="Symbol"/>
    </w:rPr>
  </w:style>
  <w:style w:type="character" w:customStyle="1" w:styleId="ListLabel8">
    <w:name w:val="ListLabel 8"/>
    <w:qFormat/>
    <w:rPr>
      <w:rFonts w:cs="Symbol"/>
    </w:rPr>
  </w:style>
  <w:style w:type="character" w:customStyle="1" w:styleId="ListLabel9">
    <w:name w:val="ListLabel 9"/>
    <w:qFormat/>
    <w:rPr>
      <w:rFonts w:cs="Symbol"/>
    </w:rPr>
  </w:style>
  <w:style w:type="character" w:customStyle="1" w:styleId="ListLabel10">
    <w:name w:val="ListLabel 10"/>
    <w:qFormat/>
    <w:rPr>
      <w:rFonts w:ascii="arial;sans-serif" w:hAnsi="arial;sans-serif" w:cs="Symbol"/>
      <w:b w:val="0"/>
      <w:sz w:val="24"/>
    </w:rPr>
  </w:style>
  <w:style w:type="character" w:customStyle="1" w:styleId="ListLabel11">
    <w:name w:val="ListLabel 11"/>
    <w:qFormat/>
    <w:rPr>
      <w:rFonts w:ascii="arial;sans-serif" w:hAnsi="arial;sans-serif" w:cs="Symbol"/>
      <w:b w:val="0"/>
      <w:sz w:val="24"/>
    </w:rPr>
  </w:style>
  <w:style w:type="character" w:customStyle="1" w:styleId="ListLabel12">
    <w:name w:val="ListLabel 12"/>
    <w:qFormat/>
    <w:rPr>
      <w:rFonts w:cs="Symbol"/>
    </w:rPr>
  </w:style>
  <w:style w:type="character" w:customStyle="1" w:styleId="ListLabel13">
    <w:name w:val="ListLabel 13"/>
    <w:qFormat/>
    <w:rPr>
      <w:rFonts w:cs="Symbol"/>
    </w:rPr>
  </w:style>
  <w:style w:type="character" w:customStyle="1" w:styleId="ListLabel14">
    <w:name w:val="ListLabel 14"/>
    <w:qFormat/>
    <w:rPr>
      <w:rFonts w:cs="Symbol"/>
    </w:rPr>
  </w:style>
  <w:style w:type="character" w:customStyle="1" w:styleId="ListLabel15">
    <w:name w:val="ListLabel 15"/>
    <w:qFormat/>
    <w:rPr>
      <w:rFonts w:cs="Symbol"/>
    </w:rPr>
  </w:style>
  <w:style w:type="character" w:customStyle="1" w:styleId="ListLabel16">
    <w:name w:val="ListLabel 16"/>
    <w:qFormat/>
    <w:rPr>
      <w:rFonts w:cs="Symbol"/>
    </w:rPr>
  </w:style>
  <w:style w:type="character" w:customStyle="1" w:styleId="ListLabel17">
    <w:name w:val="ListLabel 17"/>
    <w:qFormat/>
    <w:rPr>
      <w:rFonts w:cs="Symbol"/>
    </w:rPr>
  </w:style>
  <w:style w:type="character" w:customStyle="1" w:styleId="ListLabel18">
    <w:name w:val="ListLabel 18"/>
    <w:qFormat/>
    <w:rPr>
      <w:rFonts w:cs="Symbol"/>
    </w:rPr>
  </w:style>
  <w:style w:type="character" w:customStyle="1" w:styleId="ListLabel19">
    <w:name w:val="ListLabel 19"/>
    <w:qFormat/>
    <w:rPr>
      <w:rFonts w:ascii="arial;sans-serif" w:hAnsi="arial;sans-serif" w:cs="Symbol"/>
      <w:b w:val="0"/>
      <w:sz w:val="24"/>
    </w:rPr>
  </w:style>
  <w:style w:type="character" w:customStyle="1" w:styleId="ListLabel20">
    <w:name w:val="ListLabel 20"/>
    <w:qFormat/>
    <w:rPr>
      <w:rFonts w:cs="Symbol"/>
    </w:rPr>
  </w:style>
  <w:style w:type="character" w:customStyle="1" w:styleId="ListLabel21">
    <w:name w:val="ListLabel 21"/>
    <w:qFormat/>
    <w:rPr>
      <w:rFonts w:cs="Symbol"/>
    </w:rPr>
  </w:style>
  <w:style w:type="character" w:customStyle="1" w:styleId="ListLabel22">
    <w:name w:val="ListLabel 22"/>
    <w:qFormat/>
    <w:rPr>
      <w:rFonts w:cs="Symbol"/>
    </w:rPr>
  </w:style>
  <w:style w:type="character" w:customStyle="1" w:styleId="ListLabel23">
    <w:name w:val="ListLabel 23"/>
    <w:qFormat/>
    <w:rPr>
      <w:rFonts w:cs="Symbol"/>
    </w:rPr>
  </w:style>
  <w:style w:type="character" w:customStyle="1" w:styleId="ListLabel24">
    <w:name w:val="ListLabel 24"/>
    <w:qFormat/>
    <w:rPr>
      <w:rFonts w:cs="Symbol"/>
    </w:rPr>
  </w:style>
  <w:style w:type="character" w:customStyle="1" w:styleId="ListLabel25">
    <w:name w:val="ListLabel 25"/>
    <w:qFormat/>
    <w:rPr>
      <w:rFonts w:cs="Symbol"/>
    </w:rPr>
  </w:style>
  <w:style w:type="character" w:customStyle="1" w:styleId="ListLabel26">
    <w:name w:val="ListLabel 26"/>
    <w:qFormat/>
    <w:rPr>
      <w:rFonts w:cs="Symbol"/>
    </w:rPr>
  </w:style>
  <w:style w:type="character" w:customStyle="1" w:styleId="ListLabel27">
    <w:name w:val="ListLabel 27"/>
    <w:qFormat/>
    <w:rPr>
      <w:rFonts w:cs="Symbol"/>
    </w:rPr>
  </w:style>
  <w:style w:type="character" w:customStyle="1" w:styleId="ListLabel28">
    <w:name w:val="ListLabel 28"/>
    <w:qFormat/>
    <w:rPr>
      <w:rFonts w:ascii="arial;sans-serif" w:hAnsi="arial;sans-serif" w:cs="Symbol"/>
      <w:b w:val="0"/>
      <w:sz w:val="24"/>
    </w:rPr>
  </w:style>
  <w:style w:type="character" w:customStyle="1" w:styleId="ListLabel29">
    <w:name w:val="ListLabel 29"/>
    <w:qFormat/>
    <w:rPr>
      <w:rFonts w:ascii="arial;sans-serif" w:hAnsi="arial;sans-serif" w:cs="Symbol"/>
      <w:b w:val="0"/>
      <w:sz w:val="24"/>
    </w:rPr>
  </w:style>
  <w:style w:type="character" w:customStyle="1" w:styleId="ListLabel30">
    <w:name w:val="ListLabel 30"/>
    <w:qFormat/>
    <w:rPr>
      <w:rFonts w:cs="Symbol"/>
    </w:rPr>
  </w:style>
  <w:style w:type="character" w:customStyle="1" w:styleId="ListLabel31">
    <w:name w:val="ListLabel 31"/>
    <w:qFormat/>
    <w:rPr>
      <w:rFonts w:cs="Symbol"/>
    </w:rPr>
  </w:style>
  <w:style w:type="character" w:customStyle="1" w:styleId="ListLabel32">
    <w:name w:val="ListLabel 32"/>
    <w:qFormat/>
    <w:rPr>
      <w:rFonts w:cs="Symbol"/>
    </w:rPr>
  </w:style>
  <w:style w:type="character" w:customStyle="1" w:styleId="ListLabel33">
    <w:name w:val="ListLabel 33"/>
    <w:qFormat/>
    <w:rPr>
      <w:rFonts w:cs="Symbol"/>
    </w:rPr>
  </w:style>
  <w:style w:type="character" w:customStyle="1" w:styleId="ListLabel34">
    <w:name w:val="ListLabel 34"/>
    <w:qFormat/>
    <w:rPr>
      <w:rFonts w:cs="Symbol"/>
    </w:rPr>
  </w:style>
  <w:style w:type="character" w:customStyle="1" w:styleId="ListLabel35">
    <w:name w:val="ListLabel 35"/>
    <w:qFormat/>
    <w:rPr>
      <w:rFonts w:cs="Symbol"/>
    </w:rPr>
  </w:style>
  <w:style w:type="character" w:customStyle="1" w:styleId="ListLabel36">
    <w:name w:val="ListLabel 36"/>
    <w:qFormat/>
    <w:rPr>
      <w:rFonts w:cs="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styleId="NoSpacing">
    <w:name w:val="No Spacing"/>
    <w:uiPriority w:val="1"/>
    <w:qFormat/>
    <w:rsid w:val="00444FD1"/>
    <w:rPr>
      <w:rFonts w:asciiTheme="minorHAnsi" w:eastAsiaTheme="minorHAnsi" w:hAnsiTheme="minorHAnsi" w:cstheme="minorBidi"/>
      <w:color w:val="00000A"/>
      <w:sz w:val="22"/>
      <w:szCs w:val="22"/>
      <w:lang w:eastAsia="en-US" w:bidi="ar-SA"/>
    </w:rPr>
  </w:style>
  <w:style w:type="table" w:styleId="TableGrid">
    <w:name w:val="Table Grid"/>
    <w:basedOn w:val="TableNormal"/>
    <w:uiPriority w:val="59"/>
    <w:rsid w:val="00444FD1"/>
    <w:rPr>
      <w:rFonts w:asciiTheme="minorHAnsi" w:eastAsiaTheme="minorHAnsi" w:hAnsiTheme="minorHAnsi" w:cstheme="minorBidi"/>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www.exosaero.com/pug"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exosaero.com/pug" TargetMode="Externa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5457A1-23B0-4267-A531-30F3FB6CC21C}"/>
</file>

<file path=customXml/itemProps2.xml><?xml version="1.0" encoding="utf-8"?>
<ds:datastoreItem xmlns:ds="http://schemas.openxmlformats.org/officeDocument/2006/customXml" ds:itemID="{AD180FDF-2E83-469D-900D-0D4D12D93D3F}"/>
</file>

<file path=customXml/itemProps3.xml><?xml version="1.0" encoding="utf-8"?>
<ds:datastoreItem xmlns:ds="http://schemas.openxmlformats.org/officeDocument/2006/customXml" ds:itemID="{BEE4B882-EF6F-4991-BAF9-235DBF094F8F}"/>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Macintosh</dc:creator>
  <dc:description/>
  <cp:lastModifiedBy>John Quinn</cp:lastModifiedBy>
  <cp:revision>2</cp:revision>
  <dcterms:created xsi:type="dcterms:W3CDTF">2020-05-29T17:59:00Z</dcterms:created>
  <dcterms:modified xsi:type="dcterms:W3CDTF">2020-05-29T17:59:00Z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