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946150" cy="795020"/>
            <wp:effectExtent b="0" l="0" r="0" t="0"/>
            <wp:docPr descr="Logos- Universidad Andrés Bello" id="108619528" name="image1.png"/>
            <a:graphic>
              <a:graphicData uri="http://schemas.openxmlformats.org/drawingml/2006/picture">
                <pic:pic>
                  <pic:nvPicPr>
                    <pic:cNvPr descr="Logos- Universidad Andrés Bell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79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 por computadora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4 SKIN CANCER MNIST: HAM10000</w:t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0"/>
        </w:rPr>
      </w:pPr>
      <w:r w:rsidDel="00000000" w:rsidR="00000000" w:rsidRPr="00000000">
        <w:rPr>
          <w:b w:val="1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Jairo Andrés Carrasco Gárate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Diego Benjamin Muñoz Zapata</w:t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Pablo Olmedo Saavedra</w:t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Sebastián Ignacio Pinto Espinosa</w:t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Sebastián Andrés Quiroz Saavedra</w:t>
      </w:r>
    </w:p>
    <w:p w:rsidR="00000000" w:rsidDel="00000000" w:rsidP="00000000" w:rsidRDefault="00000000" w:rsidRPr="00000000" w14:paraId="0000000F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Addán Ignacio Sáez Rodríguez</w:t>
      </w:r>
    </w:p>
    <w:p w:rsidR="00000000" w:rsidDel="00000000" w:rsidP="00000000" w:rsidRDefault="00000000" w:rsidRPr="00000000" w14:paraId="0000001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Billy Mark Peralta Marquez</w:t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Santiago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8.00000000000006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4644787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5t9jadtna7n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DEFINICIÓN DE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s9mirww5zc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244cnkzgt9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Importancia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ra7sffqdrs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Desafíos y limitaciones</w:t>
            </w:r>
          </w:hyperlink>
          <w:hyperlink w:anchor="_heading=h.7ra7sffqdr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et2vm459ve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DE DATOS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j4r71wyap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Identificación de Imágenes y Lesiones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1fbovqxbtl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Diagnóstico (dx)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xjy41l31k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Tipo de Verificación Diagnóstica (</w:t>
            </w:r>
          </w:hyperlink>
          <w:hyperlink w:anchor="_heading=h.bxjy41l31k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dx_type</w:t>
            </w:r>
          </w:hyperlink>
          <w:hyperlink w:anchor="_heading=h.bxjy41l31kn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pdp6z1lik5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Edad de los Pacientes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uhryo7co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Sexo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ohbr8cnkt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Localización Anatómica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vuqt2j1kt9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DISEÑO DE EXPERIMENTOS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biprdlolu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EVALUACIÓN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jaui7audm2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REFERENCIAS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8.00000000000006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5"/>
        </w:numPr>
        <w:ind w:left="1080" w:hanging="360"/>
        <w:rPr/>
      </w:pPr>
      <w:bookmarkStart w:colFirst="0" w:colLast="0" w:name="_heading=h.5t9jadtna7na" w:id="0"/>
      <w:bookmarkEnd w:id="0"/>
      <w:r w:rsidDel="00000000" w:rsidR="00000000" w:rsidRPr="00000000">
        <w:rPr>
          <w:rtl w:val="0"/>
        </w:rPr>
        <w:t xml:space="preserve"> DEFINICIÓN DE PROYECTO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El proyecto consiste en el desarrollo y fortalecimiento de herramientas de inteligencia artificial para el diagnóstico automatizado de lesiones cutáneas pigmentadas utilizando un conjunto de datos </w:t>
      </w:r>
      <w:r w:rsidDel="00000000" w:rsidR="00000000" w:rsidRPr="00000000">
        <w:rPr>
          <w:b w:val="1"/>
          <w:rtl w:val="0"/>
        </w:rPr>
        <w:t xml:space="preserve">Skin Cancer MNIST: HAM10000.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ns9mirww5zc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 Contexto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El diagnóstico del cáncer de piel, es un proceso que requiere el análisis visual por parte de especialistas. Los especialistas dermatólogos aunque son expertos, la carga de trabajo y la sutileza de algunas lesiones pueden hacer que el diagnóstico sea difícil y propenso a errores. El conjunto HAM1000 (“Human Multiclass Skin Cancer Dataset”), fue creado por Philipp Tschandl, donde se encuentran imágenes de lesiones de piel que han sido confirmadas histopatológicamente o por seguimiento clínico.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b244cnkzgt9a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 Importancia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El desarrollo de un modelo preciso para clasificar el cáncer de piel es crucial por varias razones: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  <w:t xml:space="preserve">i. Detección temprana y mejora de los resultados: La detección temprana del cáncer de piel es super importante y vital para el lograr un tratamiento exitoso. Un modelo o herramienta que reconozca e identifique las lesiones sospechosas puede disminuir el tiempo de diagnóstico, lo que por consiguiente lleva a un tratamiento más oportuno y aumento en la tasa de supervivencia.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ii. Apoyo a los profesionales de la salud: El modelo no reemplaza al especialista, sino que actúa como un “segundo diagnóstico”. Ayuda a priorizar casos con alta probabilidad de malignidad, lo que puede permitir a los médicos enfocarse en los casos más críticos.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iii. Reducción de la carga de trabajo: La automatización de una parte del proceso de detección permitirá reducir la carga de trabajo de los especialistas de la salud.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iv. Investigación y desarrollo: El proyecto sirve como una plataforma para explorar y comparar diferentes arquitecturas de redes neuronales,  colaborando a la investigación en ia aplicada a la salud.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7ra7sffqdrsw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1.3 Desafíos y limitaciones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Según Bupa Seguros explica que a pesar de las ventajas, la implementación de la IA en oncología aún enfrenta desafíos como: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i. La dependencia de datos de calidad: Sin datos adecuados, los algoritmos pueden fallar.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ii. Interpretabilidad de los resultados: Los especialistas deben comprender cómo la IA llega a sus resultados y conclusiones para poder confiar.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iii. Aspectos éticos y regulatorios: Además es esencial garantizar la seguridad y privacidad de los pacientes.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8.00000000000006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5"/>
        </w:numPr>
        <w:ind w:left="1080" w:hanging="360"/>
        <w:rPr/>
      </w:pPr>
      <w:bookmarkStart w:colFirst="0" w:colLast="0" w:name="_heading=h.3et2vm459veq" w:id="4"/>
      <w:bookmarkEnd w:id="4"/>
      <w:r w:rsidDel="00000000" w:rsidR="00000000" w:rsidRPr="00000000">
        <w:rPr>
          <w:rtl w:val="0"/>
        </w:rPr>
        <w:t xml:space="preserve">DESCRIPCIÓN DE DATOS</w:t>
      </w:r>
    </w:p>
    <w:p w:rsidR="00000000" w:rsidDel="00000000" w:rsidP="00000000" w:rsidRDefault="00000000" w:rsidRPr="00000000" w14:paraId="0000004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El conjunto de los datos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HAM10000 </w:t>
      </w:r>
      <w:r w:rsidDel="00000000" w:rsidR="00000000" w:rsidRPr="00000000">
        <w:rPr>
          <w:sz w:val="24"/>
          <w:szCs w:val="24"/>
          <w:rtl w:val="0"/>
        </w:rPr>
        <w:t xml:space="preserve">está conformado por 10.015 imágenes dermatoscópicas que fueron recopiladas a partir de distintas poblaciones  utilizando varias técnicas de adquisición de almacenamiento de datos. Este enfoque </w:t>
      </w:r>
      <w:r w:rsidDel="00000000" w:rsidR="00000000" w:rsidRPr="00000000">
        <w:rPr>
          <w:rtl w:val="0"/>
        </w:rPr>
        <w:t xml:space="preserve">nos ayudará a tener una mejor representación clínica de estos datos y nos permitirá entrenar nuestro modelo con un mayor grado de inteligencia.</w:t>
      </w:r>
    </w:p>
    <w:p w:rsidR="00000000" w:rsidDel="00000000" w:rsidP="00000000" w:rsidRDefault="00000000" w:rsidRPr="00000000" w14:paraId="0000004D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del Dataset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firstLine="0"/>
        <w:rPr>
          <w:b w:val="1"/>
          <w:color w:val="000000"/>
          <w:sz w:val="24"/>
          <w:szCs w:val="24"/>
        </w:rPr>
      </w:pPr>
      <w:bookmarkStart w:colFirst="0" w:colLast="0" w:name="_heading=h.mj4r71wyap7z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Identificación de Imágenes y Lesiones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lesion_id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7.470 valores únicos, permite rastrear una misma lesión a través de múltiples imágenes.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image_id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10.015 valores únicos, identificador de cada imagen individual.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heading=h.p1fbovqxbtl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Diagnóstico (dx)</w:t>
      </w:r>
    </w:p>
    <w:p w:rsidR="00000000" w:rsidDel="00000000" w:rsidP="00000000" w:rsidRDefault="00000000" w:rsidRPr="00000000" w14:paraId="00000052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El dataset abarca </w:t>
      </w:r>
      <w:r w:rsidDel="00000000" w:rsidR="00000000" w:rsidRPr="00000000">
        <w:rPr>
          <w:b w:val="1"/>
          <w:rtl w:val="0"/>
        </w:rPr>
        <w:t xml:space="preserve">7 categorías diagnósticas</w:t>
      </w:r>
      <w:r w:rsidDel="00000000" w:rsidR="00000000" w:rsidRPr="00000000">
        <w:rPr>
          <w:rtl w:val="0"/>
        </w:rPr>
        <w:t xml:space="preserve"> de lesiones pigmentadas: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nv (nevos melanocíticos):</w:t>
      </w:r>
      <w:r w:rsidDel="00000000" w:rsidR="00000000" w:rsidRPr="00000000">
        <w:rPr>
          <w:rtl w:val="0"/>
        </w:rPr>
        <w:t xml:space="preserve"> 6.700 casos (categoría más abundante).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mel (melanoma):</w:t>
      </w:r>
      <w:r w:rsidDel="00000000" w:rsidR="00000000" w:rsidRPr="00000000">
        <w:rPr>
          <w:rtl w:val="0"/>
        </w:rPr>
        <w:t xml:space="preserve"> 1.100 casos.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bkl (lesiones queratósicas benignas):</w:t>
      </w:r>
      <w:r w:rsidDel="00000000" w:rsidR="00000000" w:rsidRPr="00000000">
        <w:rPr>
          <w:rtl w:val="0"/>
        </w:rPr>
        <w:t xml:space="preserve"> 1.100 casos.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bcc (carcinoma basocelular):</w:t>
      </w:r>
      <w:r w:rsidDel="00000000" w:rsidR="00000000" w:rsidRPr="00000000">
        <w:rPr>
          <w:rtl w:val="0"/>
        </w:rPr>
        <w:t xml:space="preserve"> 500 casos.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akiec (queratosis actínicas ):</w:t>
      </w:r>
      <w:r w:rsidDel="00000000" w:rsidR="00000000" w:rsidRPr="00000000">
        <w:rPr>
          <w:rtl w:val="0"/>
        </w:rPr>
        <w:t xml:space="preserve"> 300 casos.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vasc (lesiones vasculares):</w:t>
      </w:r>
      <w:r w:rsidDel="00000000" w:rsidR="00000000" w:rsidRPr="00000000">
        <w:rPr>
          <w:rtl w:val="0"/>
        </w:rPr>
        <w:t xml:space="preserve"> 150 casos.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df (dermatofibroma):</w:t>
      </w:r>
      <w:r w:rsidDel="00000000" w:rsidR="00000000" w:rsidRPr="00000000">
        <w:rPr>
          <w:rtl w:val="0"/>
        </w:rPr>
        <w:t xml:space="preserve"> 100 casos.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heading=h.bxjy41l31kn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Tipo de Verificación Diagnóstica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dx_type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histo (histopatología):</w:t>
      </w:r>
      <w:r w:rsidDel="00000000" w:rsidR="00000000" w:rsidRPr="00000000">
        <w:rPr>
          <w:rtl w:val="0"/>
        </w:rPr>
        <w:t xml:space="preserve"> referencia principal, más del 50% de los casos.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consensus (consenso de expertos)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confocal (microscopía confocal in vivo)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follow_up (seguimiento clínico)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heading=h.6pdp6z1lik5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Edad de los Pacientes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La edad abarca desde recién nacidos (0 años) hasta pacientes de 85 años.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Los grupos más representados se concentran entre 40 y 60 años, con picos en: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45 años: </w:t>
      </w:r>
      <w:r w:rsidDel="00000000" w:rsidR="00000000" w:rsidRPr="00000000">
        <w:rPr>
          <w:rtl w:val="0"/>
        </w:rPr>
        <w:t xml:space="preserve">1.299 casos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50 años: </w:t>
      </w:r>
      <w:r w:rsidDel="00000000" w:rsidR="00000000" w:rsidRPr="00000000">
        <w:rPr>
          <w:rtl w:val="0"/>
        </w:rPr>
        <w:t xml:space="preserve">1.187 casos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240" w:before="0" w:beforeAutospacing="0" w:lineRule="auto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55 años: </w:t>
      </w:r>
      <w:r w:rsidDel="00000000" w:rsidR="00000000" w:rsidRPr="00000000">
        <w:rPr>
          <w:rtl w:val="0"/>
        </w:rPr>
        <w:t xml:space="preserve">1.009 casos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heading=h.5uhryo7co7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Sexo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hombres)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mujeres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desconocido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heading=h.x0425xthitv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heading=h.n7ph9kw4i02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heading=h.xohbr8cnkti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Localización Anatómica</w:t>
      </w:r>
    </w:p>
    <w:p w:rsidR="00000000" w:rsidDel="00000000" w:rsidP="00000000" w:rsidRDefault="00000000" w:rsidRPr="00000000" w14:paraId="0000006C">
      <w:pPr>
        <w:spacing w:after="240" w:befor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 identifican 15 regiones corporales, con predominancia en: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Espalda (back): 2.192 casos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Extremidades inferiores : 2.077 casos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Tronco : 1.404 casos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Extremidades superiores: 1.118 casos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Abdomen: 1.022 casos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Cara: 745 casos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Otras regiones menos frecuentes incluyen cuero cabelludo (128), mano (90), oreja (56), genital (48) y acral (7 casos).</w:t>
      </w:r>
    </w:p>
    <w:p w:rsidR="00000000" w:rsidDel="00000000" w:rsidP="00000000" w:rsidRDefault="00000000" w:rsidRPr="00000000" w14:paraId="00000074">
      <w:pPr>
        <w:spacing w:after="240" w:befor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5"/>
        </w:numPr>
        <w:ind w:left="1080" w:hanging="360"/>
        <w:rPr/>
      </w:pPr>
      <w:bookmarkStart w:colFirst="0" w:colLast="0" w:name="_heading=h.tvuqt2j1kt9z" w:id="13"/>
      <w:bookmarkEnd w:id="13"/>
      <w:r w:rsidDel="00000000" w:rsidR="00000000" w:rsidRPr="00000000">
        <w:rPr>
          <w:rtl w:val="0"/>
        </w:rPr>
        <w:t xml:space="preserve">DISEÑO DE EXPERIMENTOS</w:t>
      </w:r>
    </w:p>
    <w:p w:rsidR="00000000" w:rsidDel="00000000" w:rsidP="00000000" w:rsidRDefault="00000000" w:rsidRPr="00000000" w14:paraId="0000007D">
      <w:pPr>
        <w:spacing w:line="278.00000000000006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5"/>
        </w:numPr>
        <w:ind w:left="1080" w:hanging="360"/>
        <w:rPr/>
      </w:pPr>
      <w:bookmarkStart w:colFirst="0" w:colLast="0" w:name="_heading=h.jbiprdlolu05" w:id="14"/>
      <w:bookmarkEnd w:id="14"/>
      <w:r w:rsidDel="00000000" w:rsidR="00000000" w:rsidRPr="00000000">
        <w:rPr>
          <w:rtl w:val="0"/>
        </w:rPr>
        <w:t xml:space="preserve">EVALUACIÓN</w:t>
      </w:r>
    </w:p>
    <w:p w:rsidR="00000000" w:rsidDel="00000000" w:rsidP="00000000" w:rsidRDefault="00000000" w:rsidRPr="00000000" w14:paraId="0000007F">
      <w:pPr>
        <w:spacing w:line="278.00000000000006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5"/>
        </w:numPr>
        <w:ind w:left="1080" w:hanging="360"/>
        <w:rPr/>
      </w:pPr>
      <w:bookmarkStart w:colFirst="0" w:colLast="0" w:name="_heading=h.yjaui7audm2d" w:id="15"/>
      <w:bookmarkEnd w:id="1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K Scott Mader, </w:t>
      </w:r>
      <w:r w:rsidDel="00000000" w:rsidR="00000000" w:rsidRPr="00000000">
        <w:rPr>
          <w:rtl w:val="0"/>
        </w:rPr>
        <w:t xml:space="preserve">Skin Cancer MNIST: HAM10000</w:t>
      </w:r>
    </w:p>
    <w:p w:rsidR="00000000" w:rsidDel="00000000" w:rsidP="00000000" w:rsidRDefault="00000000" w:rsidRPr="00000000" w14:paraId="00000083">
      <w:pPr>
        <w:ind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https://www.kaggle.com/datasets/kmader/skin-cancer-mnist-ham10000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Bupa Seguros</w:t>
      </w:r>
    </w:p>
    <w:p w:rsidR="00000000" w:rsidDel="00000000" w:rsidP="00000000" w:rsidRDefault="00000000" w:rsidRPr="00000000" w14:paraId="00000086">
      <w:pPr>
        <w:ind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https://www.segurosbupa.cl/blog/la-ia-en-el-diagnostico-temprano-del-cancer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418" w:right="141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>
        <w:spacing w:after="16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40AE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40AE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40AE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93693"/>
    <w:rPr>
      <w:rFonts w:ascii="Times New Roman" w:hAnsi="Times New Roman" w:cstheme="majorBidi" w:eastAsiaTheme="majorEastAsia"/>
      <w:kern w:val="0"/>
      <w:sz w:val="40"/>
      <w:szCs w:val="40"/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40AE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40AE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40AE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40AE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40AE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40AE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40AE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40AEF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F40AE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F40AE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40AE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40AE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40AE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40AE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40AE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40AE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40AEF"/>
    <w:rPr>
      <w:b w:val="1"/>
      <w:bCs w:val="1"/>
      <w:smallCaps w:val="1"/>
      <w:color w:val="0f4761" w:themeColor="accent1" w:themeShade="0000BF"/>
      <w:spacing w:val="5"/>
    </w:rPr>
  </w:style>
  <w:style w:type="character" w:styleId="Textoennegrita">
    <w:name w:val="Strong"/>
    <w:basedOn w:val="Fuentedeprrafopredeter"/>
    <w:uiPriority w:val="22"/>
    <w:qFormat w:val="1"/>
    <w:rsid w:val="0016514A"/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1651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6514A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03057"/>
    <w:pPr>
      <w:spacing w:after="0" w:before="240" w:line="259" w:lineRule="auto"/>
      <w:ind w:firstLine="0"/>
      <w:jc w:val="left"/>
      <w:outlineLvl w:val="9"/>
    </w:pPr>
    <w:rPr>
      <w:color w:val="0f4761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03057"/>
    <w:pPr>
      <w:spacing w:after="100"/>
    </w:pPr>
  </w:style>
  <w:style w:type="paragraph" w:styleId="Subtitle">
    <w:name w:val="Subtitle"/>
    <w:basedOn w:val="Normal"/>
    <w:next w:val="Normal"/>
    <w:pPr>
      <w:ind w:firstLine="720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gurosbupa.cl/blog/la-ia-en-el-diagnostico-temprano-del-canc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kaggle.com/datasets/kmader/skin-cancer-mnist-ham10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QubTCMbF+cy+o7ZOXbYJCloncw==">CgMxLjAyDmguNXQ5amFkdG5hN25hMg5oLm5zOW1pcnd3NXpjZDIOaC5iMjQ0Y25remd0OWEyDmguN3JhN3NmZnFkcnN3Mg5oLjNldDJ2bTQ1OXZlcTIOaC5tajRyNzF3eWFwN3oyDmgucDFmYm92cXhidGx0Mg5oLmJ4ank0MWwzMWtuYzIOaC42cGRwNnoxbGlrNTkyDWguNXVocnlvN2NvN2kyDmgueDA0MjV4dGhpdHYxMg5oLm43cGg5a3c0aTAybDIOaC54b2hicjhjbmt0aWUyDmgudHZ1cXQyajFrdDl6Mg5oLmpiaXByZGxvbHUwNTIOaC55amF1aTdhdWRtMmQ4AHIhMVVSaVl4ZFYzSkdHVmhGTXdwRThJcEZDOVI5cTZpam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2025-08-26T00:15:00Z</dcterms:created>
  <dc:creator>Addan saez</dc:creator>
</cp:coreProperties>
</file>