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DANSK A · OPGAVE 3 · DEBATBLOG</w:t>
      </w:r>
    </w:p>
    <w:p>
      <w:pPr>
        <w:pStyle w:val="Title"/>
      </w:pPr>
      <w:r>
        <w:t>GoldenEye 007 i 2026: mesterværk eller museum?</w:t>
      </w:r>
    </w:p>
    <w:p>
      <w:pPr>
        <w:pStyle w:val="Lead"/>
      </w:pPr>
      <w:r>
        <w:t>Et kantet spil fra 1997 afslører, hvorfor moderne Bond-spil stadig bygger på missioner, valg og den perfekte spionfantasi.</w:t>
      </w:r>
    </w:p>
    <w:p>
      <w:pPr>
        <w:spacing w:after="240"/>
        <w:jc w:val="center"/>
      </w:pPr>
      <w:r>
        <w:drawing>
          <wp:inline xmlns:a="http://schemas.openxmlformats.org/drawingml/2006/main" xmlns:pic="http://schemas.openxmlformats.org/drawingml/2006/picture">
            <wp:extent cx="6120000" cy="3442500"/>
            <wp:docPr id="1" name="Picture 1" descr="Førstepersonssyn på den smalle dæmning i GoldenEye 007 med bjerge og vagttårne." title="Førstepersonssyn på den smalle dæmning i GoldenEye 007 med bjerge og vagttårne."/>
            <wp:cNvGraphicFramePr>
              <a:graphicFrameLocks noChangeAspect="1"/>
            </wp:cNvGraphicFramePr>
            <a:graphic>
              <a:graphicData uri="http://schemas.openxmlformats.org/drawingml/2006/picture">
                <pic:pic>
                  <pic:nvPicPr>
                    <pic:cNvPr id="0" name="goldeneye-dam.png"/>
                    <pic:cNvPicPr/>
                  </pic:nvPicPr>
                  <pic:blipFill>
                    <a:blip r:embed="rId11"/>
                    <a:stretch>
                      <a:fillRect/>
                    </a:stretch>
                  </pic:blipFill>
                  <pic:spPr>
                    <a:xfrm>
                      <a:off x="0" y="0"/>
                      <a:ext cx="6120000" cy="3442500"/>
                    </a:xfrm>
                    <a:prstGeom prst="rect"/>
                  </pic:spPr>
                </pic:pic>
              </a:graphicData>
            </a:graphic>
          </wp:inline>
        </w:drawing>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4"/>
        <w:gridCol w:w="6917"/>
      </w:tblGrid>
      <w:tr>
        <w:tc>
          <w:tcPr>
            <w:tcW w:type="dxa" w:w="4819"/>
            <w:vAlign w:val="center"/>
            <w:tcMar>
              <w:top w:w="130" w:type="dxa"/>
              <w:start w:w="150" w:type="dxa"/>
              <w:bottom w:w="130" w:type="dxa"/>
              <w:end w:w="150" w:type="dxa"/>
            </w:tcMar>
          </w:tcPr>
          <w:p>
            <w:pPr>
              <w:spacing w:after="0"/>
              <w:jc w:val="left"/>
            </w:pPr>
            <w:r/>
            <w:r>
              <w:rPr>
                <w:rFonts w:ascii="Arial" w:hAnsi="Arial"/>
                <w:b/>
                <w:color w:val="665F56"/>
                <w:sz w:val="16"/>
              </w:rPr>
              <w:t>FORFATTERE</w:t>
            </w:r>
          </w:p>
        </w:tc>
        <w:tc>
          <w:tcPr>
            <w:tcW w:type="dxa" w:w="4819"/>
            <w:vAlign w:val="center"/>
            <w:tcMar>
              <w:top w:w="130" w:type="dxa"/>
              <w:start w:w="150" w:type="dxa"/>
              <w:bottom w:w="130" w:type="dxa"/>
              <w:end w:w="150" w:type="dxa"/>
            </w:tcMar>
          </w:tcPr>
          <w:p>
            <w:pPr>
              <w:spacing w:after="0"/>
              <w:jc w:val="left"/>
            </w:pPr>
            <w:r/>
            <w:r>
              <w:rPr>
                <w:rFonts w:ascii="Arial" w:hAnsi="Arial"/>
                <w:b w:val="0"/>
                <w:color w:val="0B0C0E"/>
                <w:sz w:val="18"/>
              </w:rPr>
              <w:t>Simon og Lucas</w:t>
            </w:r>
          </w:p>
        </w:tc>
      </w:tr>
      <w:tr>
        <w:tc>
          <w:tcPr>
            <w:tcW w:type="dxa" w:w="4819"/>
            <w:vAlign w:val="center"/>
            <w:tcMar>
              <w:top w:w="130" w:type="dxa"/>
              <w:start w:w="150" w:type="dxa"/>
              <w:bottom w:w="130" w:type="dxa"/>
              <w:end w:w="150" w:type="dxa"/>
            </w:tcMar>
            <w:shd w:fill="F3EFE5"/>
          </w:tcPr>
          <w:p>
            <w:pPr>
              <w:spacing w:after="0"/>
              <w:jc w:val="left"/>
            </w:pPr>
            <w:r/>
            <w:r>
              <w:rPr>
                <w:rFonts w:ascii="Arial" w:hAnsi="Arial"/>
                <w:b/>
                <w:color w:val="665F56"/>
                <w:sz w:val="16"/>
              </w:rPr>
              <w:t>MÅLGRUPPE</w:t>
            </w:r>
          </w:p>
        </w:tc>
        <w:tc>
          <w:tcPr>
            <w:tcW w:type="dxa" w:w="4819"/>
            <w:vAlign w:val="center"/>
            <w:tcMar>
              <w:top w:w="130" w:type="dxa"/>
              <w:start w:w="150" w:type="dxa"/>
              <w:bottom w:w="130" w:type="dxa"/>
              <w:end w:w="150" w:type="dxa"/>
            </w:tcMar>
            <w:shd w:fill="F3EFE5"/>
          </w:tcPr>
          <w:p>
            <w:pPr>
              <w:spacing w:after="0"/>
              <w:jc w:val="left"/>
            </w:pPr>
            <w:r/>
            <w:r>
              <w:rPr>
                <w:rFonts w:ascii="Arial" w:hAnsi="Arial"/>
                <w:b w:val="0"/>
                <w:color w:val="0B0C0E"/>
                <w:sz w:val="18"/>
              </w:rPr>
              <w:t>Unge, der har hørt om Bond-spil, men ikke selv har spillet klassikeren</w:t>
            </w:r>
          </w:p>
        </w:tc>
      </w:tr>
      <w:tr>
        <w:tc>
          <w:tcPr>
            <w:tcW w:type="dxa" w:w="4819"/>
            <w:vAlign w:val="center"/>
            <w:tcMar>
              <w:top w:w="130" w:type="dxa"/>
              <w:start w:w="150" w:type="dxa"/>
              <w:bottom w:w="130" w:type="dxa"/>
              <w:end w:w="150" w:type="dxa"/>
            </w:tcMar>
          </w:tcPr>
          <w:p>
            <w:pPr>
              <w:spacing w:after="0"/>
              <w:jc w:val="left"/>
            </w:pPr>
            <w:r/>
            <w:r>
              <w:rPr>
                <w:rFonts w:ascii="Arial" w:hAnsi="Arial"/>
                <w:b/>
                <w:color w:val="665F56"/>
                <w:sz w:val="16"/>
              </w:rPr>
              <w:t>GENRE</w:t>
            </w:r>
          </w:p>
        </w:tc>
        <w:tc>
          <w:tcPr>
            <w:tcW w:type="dxa" w:w="4819"/>
            <w:vAlign w:val="center"/>
            <w:tcMar>
              <w:top w:w="130" w:type="dxa"/>
              <w:start w:w="150" w:type="dxa"/>
              <w:bottom w:w="130" w:type="dxa"/>
              <w:end w:w="150" w:type="dxa"/>
            </w:tcMar>
          </w:tcPr>
          <w:p>
            <w:pPr>
              <w:spacing w:after="0"/>
              <w:jc w:val="left"/>
            </w:pPr>
            <w:r/>
            <w:r>
              <w:rPr>
                <w:rFonts w:ascii="Arial" w:hAnsi="Arial"/>
                <w:b w:val="0"/>
                <w:color w:val="0B0C0E"/>
                <w:sz w:val="18"/>
              </w:rPr>
              <w:t>Holdningspræget debatblog med konkrete spileksempler</w:t>
            </w:r>
          </w:p>
        </w:tc>
      </w:tr>
      <w:tr>
        <w:tc>
          <w:tcPr>
            <w:tcW w:type="dxa" w:w="4819"/>
            <w:vAlign w:val="center"/>
            <w:tcMar>
              <w:top w:w="130" w:type="dxa"/>
              <w:start w:w="150" w:type="dxa"/>
              <w:bottom w:w="130" w:type="dxa"/>
              <w:end w:w="150" w:type="dxa"/>
            </w:tcMar>
            <w:shd w:fill="F3EFE5"/>
          </w:tcPr>
          <w:p>
            <w:pPr>
              <w:spacing w:after="0"/>
              <w:jc w:val="left"/>
            </w:pPr>
            <w:r/>
            <w:r>
              <w:rPr>
                <w:rFonts w:ascii="Arial" w:hAnsi="Arial"/>
                <w:b/>
                <w:color w:val="665F56"/>
                <w:sz w:val="16"/>
              </w:rPr>
              <w:t>FAG</w:t>
            </w:r>
          </w:p>
        </w:tc>
        <w:tc>
          <w:tcPr>
            <w:tcW w:type="dxa" w:w="4819"/>
            <w:vAlign w:val="center"/>
            <w:tcMar>
              <w:top w:w="130" w:type="dxa"/>
              <w:start w:w="150" w:type="dxa"/>
              <w:bottom w:w="130" w:type="dxa"/>
              <w:end w:w="150" w:type="dxa"/>
            </w:tcMar>
            <w:shd w:fill="F3EFE5"/>
          </w:tcPr>
          <w:p>
            <w:pPr>
              <w:spacing w:after="0"/>
              <w:jc w:val="left"/>
            </w:pPr>
            <w:r/>
            <w:r>
              <w:rPr>
                <w:rFonts w:ascii="Arial" w:hAnsi="Arial"/>
                <w:b w:val="0"/>
                <w:color w:val="0B0C0E"/>
                <w:sz w:val="18"/>
              </w:rPr>
              <w:t>Dansk A · integreret i 007 Vidensportal</w:t>
            </w:r>
          </w:p>
        </w:tc>
      </w:tr>
      <w:tr>
        <w:tc>
          <w:tcPr>
            <w:tcW w:type="dxa" w:w="4819"/>
            <w:vAlign w:val="center"/>
            <w:tcMar>
              <w:top w:w="130" w:type="dxa"/>
              <w:start w:w="150" w:type="dxa"/>
              <w:bottom w:w="130" w:type="dxa"/>
              <w:end w:w="150" w:type="dxa"/>
            </w:tcMar>
          </w:tcPr>
          <w:p>
            <w:pPr>
              <w:spacing w:after="0"/>
              <w:jc w:val="left"/>
            </w:pPr>
            <w:r/>
            <w:r>
              <w:rPr>
                <w:rFonts w:ascii="Arial" w:hAnsi="Arial"/>
                <w:b/>
                <w:color w:val="665F56"/>
                <w:sz w:val="16"/>
              </w:rPr>
              <w:t>DATO</w:t>
            </w:r>
          </w:p>
        </w:tc>
        <w:tc>
          <w:tcPr>
            <w:tcW w:type="dxa" w:w="4819"/>
            <w:vAlign w:val="center"/>
            <w:tcMar>
              <w:top w:w="130" w:type="dxa"/>
              <w:start w:w="150" w:type="dxa"/>
              <w:bottom w:w="130" w:type="dxa"/>
              <w:end w:w="150" w:type="dxa"/>
            </w:tcMar>
          </w:tcPr>
          <w:p>
            <w:pPr>
              <w:spacing w:after="0"/>
              <w:jc w:val="left"/>
            </w:pPr>
            <w:r/>
            <w:r>
              <w:rPr>
                <w:rFonts w:ascii="Arial" w:hAnsi="Arial"/>
                <w:b w:val="0"/>
                <w:color w:val="0B0C0E"/>
                <w:sz w:val="18"/>
              </w:rPr>
              <w:t>7. oktober 2026</w:t>
            </w:r>
          </w:p>
        </w:tc>
      </w:tr>
    </w:tbl>
    <w:p>
      <w:r>
        <w:br w:type="page"/>
      </w:r>
    </w:p>
    <w:p>
      <w:pPr>
        <w:pStyle w:val="Kicker"/>
      </w:pPr>
      <w:r>
        <w:t>00 · INDHOLDSOVERSIGT</w:t>
      </w:r>
    </w:p>
    <w:p>
      <w:pPr>
        <w:pStyle w:val="Heading1"/>
      </w:pPr>
      <w:r>
        <w:t>Indholdsoversigt</w:t>
      </w:r>
    </w:p>
    <w:p>
      <w:pPr>
        <w:pStyle w:val="Lead"/>
      </w:pPr>
      <w:r>
        <w:t>Bloggen bevæger sig fra den første oplevelse til tre konkrete scener, en afvejning og en samlet dom.</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34"/>
        <w:gridCol w:w="8220"/>
      </w:tblGrid>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01</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Hook og påstand</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02</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Scene 1: Dam</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03</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Scene 2: Silo</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04</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Scene 3: Train</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05</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Mesterværk eller museum?</w:t>
            </w:r>
          </w:p>
        </w:tc>
      </w:tr>
      <w:tr>
        <w:tc>
          <w:tcPr>
            <w:tcW w:type="dxa" w:w="1134"/>
            <w:vAlign w:val="center"/>
            <w:tcMar>
              <w:top w:w="130" w:type="dxa"/>
              <w:start w:w="150" w:type="dxa"/>
              <w:bottom w:w="130" w:type="dxa"/>
              <w:end w:w="150" w:type="dxa"/>
            </w:tcMar>
          </w:tcPr>
          <w:p>
            <w:pPr>
              <w:spacing w:after="0"/>
              <w:jc w:val="center"/>
            </w:pPr>
            <w:r/>
            <w:r>
              <w:rPr>
                <w:rFonts w:ascii="Arial" w:hAnsi="Arial"/>
                <w:b/>
                <w:color w:val="8B7040"/>
                <w:sz w:val="20"/>
              </w:rPr>
              <w:t>06</w:t>
            </w:r>
          </w:p>
        </w:tc>
        <w:tc>
          <w:tcPr>
            <w:tcW w:type="dxa" w:w="8220"/>
            <w:vAlign w:val="center"/>
            <w:tcMar>
              <w:top w:w="130" w:type="dxa"/>
              <w:start w:w="150" w:type="dxa"/>
              <w:bottom w:w="130" w:type="dxa"/>
              <w:end w:w="150" w:type="dxa"/>
            </w:tcMar>
          </w:tcPr>
          <w:p>
            <w:pPr>
              <w:spacing w:after="0"/>
              <w:jc w:val="left"/>
            </w:pPr>
            <w:r/>
            <w:r>
              <w:rPr>
                <w:rFonts w:ascii="Arial" w:hAnsi="Arial"/>
                <w:b/>
                <w:color w:val="0B0C0E"/>
                <w:sz w:val="20"/>
              </w:rPr>
              <w:t>Dom, debat og kilder</w:t>
            </w:r>
          </w:p>
        </w:tc>
      </w:tr>
    </w:tbl>
    <w:p>
      <w:r>
        <w:br w:type="page"/>
      </w:r>
    </w:p>
    <w:p>
      <w:pPr>
        <w:pStyle w:val="Kicker"/>
      </w:pPr>
      <w:r>
        <w:t>01 · HOOK OG PÅSTAND</w:t>
      </w:r>
    </w:p>
    <w:p>
      <w:pPr>
        <w:pStyle w:val="Heading1"/>
      </w:pPr>
      <w:r>
        <w:t>Hook og påstand</w:t>
      </w:r>
    </w:p>
    <w:p>
      <w:pPr>
        <w:pStyle w:val="Lead"/>
      </w:pPr>
      <w:r>
        <w:t>GoldenEye 007 er tydeligt gammelt, men spillets vigtigste idé er stadig moderne: Bond bliver skabt gennem spillerens valg.</w:t>
      </w:r>
    </w:p>
    <w:tbl>
      <w:tblPr>
        <w:tblW w:type="auto" w:w="0"/>
        <w:jc w:val="center"/>
        <w:tblLook w:firstColumn="1" w:firstRow="1" w:lastColumn="0" w:lastRow="0" w:noHBand="0" w:noVBand="1" w:val="04A0"/>
        <w:tblBorders>
          <w:top w:val="single" w:sz="8" w:space="0" w:color="F3EFE5"/>
          <w:left w:val="single" w:sz="8" w:space="0" w:color="F3EFE5"/>
          <w:bottom w:val="single" w:sz="8" w:space="0" w:color="F3EFE5"/>
          <w:right w:val="single" w:sz="8" w:space="0" w:color="F3EFE5"/>
          <w:insideH w:val="single" w:sz="8" w:space="0" w:color="F3EFE5"/>
          <w:insideV w:val="single" w:sz="8" w:space="0" w:color="F3EFE5"/>
        </w:tblBorders>
      </w:tblPr>
      <w:tblGrid>
        <w:gridCol w:w="9638"/>
      </w:tblGrid>
      <w:tr>
        <w:tc>
          <w:tcPr>
            <w:tcW w:type="dxa" w:w="9638"/>
            <w:shd w:fill="F3EFE5"/>
            <w:tcMar>
              <w:top w:w="220" w:type="dxa"/>
              <w:start w:w="240" w:type="dxa"/>
              <w:bottom w:w="220" w:type="dxa"/>
              <w:end w:w="240" w:type="dxa"/>
            </w:tcMar>
          </w:tcPr>
          <w:p>
            <w:pPr>
              <w:spacing w:after="100"/>
            </w:pPr>
            <w:r>
              <w:rPr>
                <w:rFonts w:ascii="Arial" w:hAnsi="Arial"/>
                <w:b/>
                <w:color w:val="8F1D2C"/>
                <w:sz w:val="16"/>
              </w:rPr>
              <w:t>HOOK</w:t>
            </w:r>
          </w:p>
          <w:p>
            <w:pPr>
              <w:spacing w:after="0"/>
            </w:pPr>
            <w:r>
              <w:rPr>
                <w:rFonts w:ascii="Georgia" w:hAnsi="Georgia"/>
                <w:b w:val="0"/>
                <w:color w:val="0B0C0E"/>
                <w:sz w:val="24"/>
              </w:rPr>
              <w:t>Du behøver ikke have rørt en Nintendo 64 for at kende følelsen: én agent, én mission og et rum fyldt med vagter, alarmer og muligheder. GoldenEye 007 ser gammelt ud. Det tænker stadig overraskende moderne.</w:t>
            </w:r>
          </w:p>
        </w:tc>
      </w:tr>
    </w:tbl>
    <w:p>
      <w:pPr>
        <w:spacing w:after="0"/>
      </w:pPr>
    </w:p>
    <w:p>
      <w:pPr>
        <w:spacing w:after="180" w:line="300" w:lineRule="auto"/>
      </w:pPr>
      <w:r>
        <w:rPr>
          <w:rFonts w:ascii="Georgia" w:hAnsi="Georgia"/>
          <w:b w:val="0"/>
          <w:color w:val="0B0C0E"/>
          <w:sz w:val="22"/>
        </w:rPr>
        <w:t>Når man starter GoldenEye 007 i 2026, kommer det første chok hurtigt. Figurerne har firkantede hænder, ansigterne ligner fotografier limet på kantede hoveder, og den oprindelige styring føles langsom for en spiller, der er vant til to analogsticks. Det er let at afvise oplevelsen som et museum med skydevåben.</w:t>
      </w:r>
    </w:p>
    <w:p>
      <w:pPr>
        <w:spacing w:after="180" w:line="300" w:lineRule="auto"/>
      </w:pPr>
      <w:r>
        <w:rPr>
          <w:rFonts w:ascii="Georgia" w:hAnsi="Georgia"/>
          <w:b w:val="0"/>
          <w:color w:val="0B0C0E"/>
          <w:sz w:val="22"/>
        </w:rPr>
        <w:t>Men bag den gamle overflade ligger en idé, der stadig fungerer: Spillet giver ikke bare spilleren fjender at skyde på. Det giver en mission, konkrete mål og et rum, der skal aflæses. Alarmer, gidsler, kameraer og computere betyder, at den hurtigste løsning ikke altid er den bedste. Man spiller en rolle i stedet for kun at følge en korridor.</w:t>
      </w:r>
    </w:p>
    <w:p>
      <w:pPr>
        <w:spacing w:after="180" w:line="300" w:lineRule="auto"/>
      </w:pPr>
      <w:r>
        <w:rPr>
          <w:rFonts w:ascii="Georgia" w:hAnsi="Georgia"/>
          <w:b w:val="0"/>
          <w:color w:val="0B0C0E"/>
          <w:sz w:val="22"/>
        </w:rPr>
        <w:t>Vores påstand er derfor, at GoldenEye 007 både er mesterværk og museum. Styring, kunstig intelligens og animationer viser alderen. Missionernes struktur, den rumlige fortælling og forbindelsen mellem gadget og handling viser, hvorfor spillet stadig er vigtigt.</w:t>
      </w:r>
    </w:p>
    <w:p>
      <w:pPr>
        <w:pStyle w:val="Heading2"/>
      </w:pPr>
      <w:r>
        <w:t>Hurtig briefing</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3213"/>
        <w:gridCol w:w="3213"/>
        <w:gridCol w:w="3213"/>
      </w:tblGrid>
      <w:tr>
        <w:trPr>
          <w:tblHeader w:val="true"/>
        </w:trPr>
        <w:tc>
          <w:tcPr>
            <w:tcW w:type="dxa" w:w="1871"/>
            <w:vAlign w:val="center"/>
            <w:tcMar>
              <w:top w:w="130" w:type="dxa"/>
              <w:start w:w="150" w:type="dxa"/>
              <w:bottom w:w="130" w:type="dxa"/>
              <w:end w:w="150" w:type="dxa"/>
            </w:tcMar>
            <w:shd w:fill="17191D"/>
          </w:tcPr>
          <w:p>
            <w:pPr>
              <w:spacing w:after="0"/>
              <w:jc w:val="left"/>
            </w:pPr>
            <w:r/>
            <w:r>
              <w:rPr>
                <w:rFonts w:ascii="Arial" w:hAnsi="Arial"/>
                <w:b/>
                <w:color w:val="FFFFFF"/>
                <w:sz w:val="16"/>
              </w:rPr>
              <w:t>Fakta</w:t>
            </w:r>
          </w:p>
        </w:tc>
        <w:tc>
          <w:tcPr>
            <w:tcW w:type="dxa" w:w="2835"/>
            <w:vAlign w:val="center"/>
            <w:tcMar>
              <w:top w:w="130" w:type="dxa"/>
              <w:start w:w="150" w:type="dxa"/>
              <w:bottom w:w="130" w:type="dxa"/>
              <w:end w:w="150" w:type="dxa"/>
            </w:tcMar>
            <w:shd w:fill="17191D"/>
          </w:tcPr>
          <w:p>
            <w:pPr>
              <w:spacing w:after="0"/>
              <w:jc w:val="left"/>
            </w:pPr>
            <w:r/>
            <w:r>
              <w:rPr>
                <w:rFonts w:ascii="Arial" w:hAnsi="Arial"/>
                <w:b/>
                <w:color w:val="FFFFFF"/>
                <w:sz w:val="16"/>
              </w:rPr>
              <w:t>Oplysning</w:t>
            </w:r>
          </w:p>
        </w:tc>
        <w:tc>
          <w:tcPr>
            <w:tcW w:type="dxa" w:w="4535"/>
            <w:vAlign w:val="center"/>
            <w:tcMar>
              <w:top w:w="130" w:type="dxa"/>
              <w:start w:w="150" w:type="dxa"/>
              <w:bottom w:w="130" w:type="dxa"/>
              <w:end w:w="150" w:type="dxa"/>
            </w:tcMar>
            <w:shd w:fill="17191D"/>
          </w:tcPr>
          <w:p>
            <w:pPr>
              <w:spacing w:after="0"/>
              <w:jc w:val="left"/>
            </w:pPr>
            <w:r/>
            <w:r>
              <w:rPr>
                <w:rFonts w:ascii="Arial" w:hAnsi="Arial"/>
                <w:b/>
                <w:color w:val="FFFFFF"/>
                <w:sz w:val="16"/>
              </w:rPr>
              <w:t>Betydning for artiklen</w:t>
            </w:r>
          </w:p>
        </w:tc>
      </w:tr>
      <w:tr>
        <w:tc>
          <w:tcPr>
            <w:tcW w:type="dxa" w:w="1871"/>
            <w:vAlign w:val="center"/>
            <w:tcMar>
              <w:top w:w="130" w:type="dxa"/>
              <w:start w:w="150" w:type="dxa"/>
              <w:bottom w:w="130" w:type="dxa"/>
              <w:end w:w="150" w:type="dxa"/>
            </w:tcMar>
          </w:tcPr>
          <w:p>
            <w:pPr>
              <w:spacing w:after="0"/>
              <w:jc w:val="left"/>
            </w:pPr>
            <w:r/>
            <w:r>
              <w:rPr>
                <w:rFonts w:ascii="Arial" w:hAnsi="Arial"/>
                <w:b w:val="0"/>
                <w:color w:val="0B0C0E"/>
                <w:sz w:val="16"/>
              </w:rPr>
              <w:t>Original</w:t>
            </w:r>
          </w:p>
        </w:tc>
        <w:tc>
          <w:tcPr>
            <w:tcW w:type="dxa" w:w="2835"/>
            <w:vAlign w:val="center"/>
            <w:tcMar>
              <w:top w:w="130" w:type="dxa"/>
              <w:start w:w="150" w:type="dxa"/>
              <w:bottom w:w="130" w:type="dxa"/>
              <w:end w:w="150" w:type="dxa"/>
            </w:tcMar>
          </w:tcPr>
          <w:p>
            <w:pPr>
              <w:spacing w:after="0"/>
              <w:jc w:val="left"/>
            </w:pPr>
            <w:r/>
            <w:r>
              <w:rPr>
                <w:rFonts w:ascii="Arial" w:hAnsi="Arial"/>
                <w:b w:val="0"/>
                <w:color w:val="0B0C0E"/>
                <w:sz w:val="16"/>
              </w:rPr>
              <w:t>Nintendo 64, 1997</w:t>
            </w:r>
          </w:p>
        </w:tc>
        <w:tc>
          <w:tcPr>
            <w:tcW w:type="dxa" w:w="4535"/>
            <w:vAlign w:val="center"/>
            <w:tcMar>
              <w:top w:w="130" w:type="dxa"/>
              <w:start w:w="150" w:type="dxa"/>
              <w:bottom w:w="130" w:type="dxa"/>
              <w:end w:w="150" w:type="dxa"/>
            </w:tcMar>
          </w:tcPr>
          <w:p>
            <w:pPr>
              <w:spacing w:after="0"/>
              <w:jc w:val="left"/>
            </w:pPr>
            <w:r/>
            <w:r>
              <w:rPr>
                <w:rFonts w:ascii="Arial" w:hAnsi="Arial"/>
                <w:b w:val="0"/>
                <w:color w:val="0B0C0E"/>
                <w:sz w:val="16"/>
              </w:rPr>
              <w:t>Et produkt af tidlig konsol-3D</w:t>
            </w:r>
          </w:p>
        </w:tc>
      </w:tr>
      <w:tr>
        <w:tc>
          <w:tcPr>
            <w:tcW w:type="dxa" w:w="1871"/>
            <w:vAlign w:val="center"/>
            <w:tcMar>
              <w:top w:w="130" w:type="dxa"/>
              <w:start w:w="150" w:type="dxa"/>
              <w:bottom w:w="130" w:type="dxa"/>
              <w:end w:w="150" w:type="dxa"/>
            </w:tcMar>
            <w:shd w:fill="EEF1F3"/>
          </w:tcPr>
          <w:p>
            <w:pPr>
              <w:spacing w:after="0"/>
              <w:jc w:val="left"/>
            </w:pPr>
            <w:r/>
            <w:r>
              <w:rPr>
                <w:rFonts w:ascii="Arial" w:hAnsi="Arial"/>
                <w:b w:val="0"/>
                <w:color w:val="0B0C0E"/>
                <w:sz w:val="16"/>
              </w:rPr>
              <w:t>Udvikler</w:t>
            </w:r>
          </w:p>
        </w:tc>
        <w:tc>
          <w:tcPr>
            <w:tcW w:type="dxa" w:w="2835"/>
            <w:vAlign w:val="center"/>
            <w:tcMar>
              <w:top w:w="130" w:type="dxa"/>
              <w:start w:w="150" w:type="dxa"/>
              <w:bottom w:w="130" w:type="dxa"/>
              <w:end w:w="150" w:type="dxa"/>
            </w:tcMar>
            <w:shd w:fill="EEF1F3"/>
          </w:tcPr>
          <w:p>
            <w:pPr>
              <w:spacing w:after="0"/>
              <w:jc w:val="left"/>
            </w:pPr>
            <w:r/>
            <w:r>
              <w:rPr>
                <w:rFonts w:ascii="Arial" w:hAnsi="Arial"/>
                <w:b w:val="0"/>
                <w:color w:val="0B0C0E"/>
                <w:sz w:val="16"/>
              </w:rPr>
              <w:t>Rare</w:t>
            </w:r>
          </w:p>
        </w:tc>
        <w:tc>
          <w:tcPr>
            <w:tcW w:type="dxa" w:w="4535"/>
            <w:vAlign w:val="center"/>
            <w:tcMar>
              <w:top w:w="130" w:type="dxa"/>
              <w:start w:w="150" w:type="dxa"/>
              <w:bottom w:w="130" w:type="dxa"/>
              <w:end w:w="150" w:type="dxa"/>
            </w:tcMar>
            <w:shd w:fill="EEF1F3"/>
          </w:tcPr>
          <w:p>
            <w:pPr>
              <w:spacing w:after="0"/>
              <w:jc w:val="left"/>
            </w:pPr>
            <w:r/>
            <w:r>
              <w:rPr>
                <w:rFonts w:ascii="Arial" w:hAnsi="Arial"/>
                <w:b w:val="0"/>
                <w:color w:val="0B0C0E"/>
                <w:sz w:val="16"/>
              </w:rPr>
              <w:t>Studiet omsatte filmens spionfantasi til systemer</w:t>
            </w:r>
          </w:p>
        </w:tc>
      </w:tr>
      <w:tr>
        <w:tc>
          <w:tcPr>
            <w:tcW w:type="dxa" w:w="1871"/>
            <w:vAlign w:val="center"/>
            <w:tcMar>
              <w:top w:w="130" w:type="dxa"/>
              <w:start w:w="150" w:type="dxa"/>
              <w:bottom w:w="130" w:type="dxa"/>
              <w:end w:w="150" w:type="dxa"/>
            </w:tcMar>
          </w:tcPr>
          <w:p>
            <w:pPr>
              <w:spacing w:after="0"/>
              <w:jc w:val="left"/>
            </w:pPr>
            <w:r/>
            <w:r>
              <w:rPr>
                <w:rFonts w:ascii="Arial" w:hAnsi="Arial"/>
                <w:b w:val="0"/>
                <w:color w:val="0B0C0E"/>
                <w:sz w:val="16"/>
              </w:rPr>
              <w:t>Kampagne</w:t>
            </w:r>
          </w:p>
        </w:tc>
        <w:tc>
          <w:tcPr>
            <w:tcW w:type="dxa" w:w="2835"/>
            <w:vAlign w:val="center"/>
            <w:tcMar>
              <w:top w:w="130" w:type="dxa"/>
              <w:start w:w="150" w:type="dxa"/>
              <w:bottom w:w="130" w:type="dxa"/>
              <w:end w:w="150" w:type="dxa"/>
            </w:tcMar>
          </w:tcPr>
          <w:p>
            <w:pPr>
              <w:spacing w:after="0"/>
              <w:jc w:val="left"/>
            </w:pPr>
            <w:r/>
            <w:r>
              <w:rPr>
                <w:rFonts w:ascii="Arial" w:hAnsi="Arial"/>
                <w:b w:val="0"/>
                <w:color w:val="0B0C0E"/>
                <w:sz w:val="16"/>
              </w:rPr>
              <w:t>20 missioner i den moderne udgave</w:t>
            </w:r>
          </w:p>
        </w:tc>
        <w:tc>
          <w:tcPr>
            <w:tcW w:type="dxa" w:w="4535"/>
            <w:vAlign w:val="center"/>
            <w:tcMar>
              <w:top w:w="130" w:type="dxa"/>
              <w:start w:w="150" w:type="dxa"/>
              <w:bottom w:w="130" w:type="dxa"/>
              <w:end w:w="150" w:type="dxa"/>
            </w:tcMar>
          </w:tcPr>
          <w:p>
            <w:pPr>
              <w:spacing w:after="0"/>
              <w:jc w:val="left"/>
            </w:pPr>
            <w:r/>
            <w:r>
              <w:rPr>
                <w:rFonts w:ascii="Arial" w:hAnsi="Arial"/>
                <w:b w:val="0"/>
                <w:color w:val="0B0C0E"/>
                <w:sz w:val="16"/>
              </w:rPr>
              <w:t>Sværhedsgrad ændrer og udvider mål</w:t>
            </w:r>
          </w:p>
        </w:tc>
      </w:tr>
      <w:tr>
        <w:tc>
          <w:tcPr>
            <w:tcW w:type="dxa" w:w="1871"/>
            <w:vAlign w:val="center"/>
            <w:tcMar>
              <w:top w:w="130" w:type="dxa"/>
              <w:start w:w="150" w:type="dxa"/>
              <w:bottom w:w="130" w:type="dxa"/>
              <w:end w:w="150" w:type="dxa"/>
            </w:tcMar>
            <w:shd w:fill="EEF1F3"/>
          </w:tcPr>
          <w:p>
            <w:pPr>
              <w:spacing w:after="0"/>
              <w:jc w:val="left"/>
            </w:pPr>
            <w:r/>
            <w:r>
              <w:rPr>
                <w:rFonts w:ascii="Arial" w:hAnsi="Arial"/>
                <w:b w:val="0"/>
                <w:color w:val="0B0C0E"/>
                <w:sz w:val="16"/>
              </w:rPr>
              <w:t>Genudgivelse</w:t>
            </w:r>
          </w:p>
        </w:tc>
        <w:tc>
          <w:tcPr>
            <w:tcW w:type="dxa" w:w="2835"/>
            <w:vAlign w:val="center"/>
            <w:tcMar>
              <w:top w:w="130" w:type="dxa"/>
              <w:start w:w="150" w:type="dxa"/>
              <w:bottom w:w="130" w:type="dxa"/>
              <w:end w:w="150" w:type="dxa"/>
            </w:tcMar>
            <w:shd w:fill="EEF1F3"/>
          </w:tcPr>
          <w:p>
            <w:pPr>
              <w:spacing w:after="0"/>
              <w:jc w:val="left"/>
            </w:pPr>
            <w:r/>
            <w:r>
              <w:rPr>
                <w:rFonts w:ascii="Arial" w:hAnsi="Arial"/>
                <w:b w:val="0"/>
                <w:color w:val="0B0C0E"/>
                <w:sz w:val="16"/>
              </w:rPr>
              <w:t>Xbox og Nintendo Switch, januar 2023</w:t>
            </w:r>
          </w:p>
        </w:tc>
        <w:tc>
          <w:tcPr>
            <w:tcW w:type="dxa" w:w="4535"/>
            <w:vAlign w:val="center"/>
            <w:tcMar>
              <w:top w:w="130" w:type="dxa"/>
              <w:start w:w="150" w:type="dxa"/>
              <w:bottom w:w="130" w:type="dxa"/>
              <w:end w:w="150" w:type="dxa"/>
            </w:tcMar>
            <w:shd w:fill="EEF1F3"/>
          </w:tcPr>
          <w:p>
            <w:pPr>
              <w:spacing w:after="0"/>
              <w:jc w:val="left"/>
            </w:pPr>
            <w:r/>
            <w:r>
              <w:rPr>
                <w:rFonts w:ascii="Arial" w:hAnsi="Arial"/>
                <w:b w:val="0"/>
                <w:color w:val="0B0C0E"/>
                <w:sz w:val="16"/>
              </w:rPr>
              <w:t>Nye spillere kan stadig afprøve klassikeren</w:t>
            </w:r>
          </w:p>
        </w:tc>
      </w:tr>
      <w:tr>
        <w:tc>
          <w:tcPr>
            <w:tcW w:type="dxa" w:w="1871"/>
            <w:vAlign w:val="center"/>
            <w:tcMar>
              <w:top w:w="130" w:type="dxa"/>
              <w:start w:w="150" w:type="dxa"/>
              <w:bottom w:w="130" w:type="dxa"/>
              <w:end w:w="150" w:type="dxa"/>
            </w:tcMar>
          </w:tcPr>
          <w:p>
            <w:pPr>
              <w:spacing w:after="0"/>
              <w:jc w:val="left"/>
            </w:pPr>
            <w:r/>
            <w:r>
              <w:rPr>
                <w:rFonts w:ascii="Arial" w:hAnsi="Arial"/>
                <w:b w:val="0"/>
                <w:color w:val="0B0C0E"/>
                <w:sz w:val="16"/>
              </w:rPr>
              <w:t>Multiplayer</w:t>
            </w:r>
          </w:p>
        </w:tc>
        <w:tc>
          <w:tcPr>
            <w:tcW w:type="dxa" w:w="2835"/>
            <w:vAlign w:val="center"/>
            <w:tcMar>
              <w:top w:w="130" w:type="dxa"/>
              <w:start w:w="150" w:type="dxa"/>
              <w:bottom w:w="130" w:type="dxa"/>
              <w:end w:w="150" w:type="dxa"/>
            </w:tcMar>
          </w:tcPr>
          <w:p>
            <w:pPr>
              <w:spacing w:after="0"/>
              <w:jc w:val="left"/>
            </w:pPr>
            <w:r/>
            <w:r>
              <w:rPr>
                <w:rFonts w:ascii="Arial" w:hAnsi="Arial"/>
                <w:b w:val="0"/>
                <w:color w:val="0B0C0E"/>
                <w:sz w:val="16"/>
              </w:rPr>
              <w:t>Op til fire spillere</w:t>
            </w:r>
          </w:p>
        </w:tc>
        <w:tc>
          <w:tcPr>
            <w:tcW w:type="dxa" w:w="4535"/>
            <w:vAlign w:val="center"/>
            <w:tcMar>
              <w:top w:w="130" w:type="dxa"/>
              <w:start w:w="150" w:type="dxa"/>
              <w:bottom w:w="130" w:type="dxa"/>
              <w:end w:w="150" w:type="dxa"/>
            </w:tcMar>
          </w:tcPr>
          <w:p>
            <w:pPr>
              <w:spacing w:after="0"/>
              <w:jc w:val="left"/>
            </w:pPr>
            <w:r/>
            <w:r>
              <w:rPr>
                <w:rFonts w:ascii="Arial" w:hAnsi="Arial"/>
                <w:b w:val="0"/>
                <w:color w:val="0B0C0E"/>
                <w:sz w:val="16"/>
              </w:rPr>
              <w:t>Spillet er både mission og social konkurrence</w:t>
            </w:r>
          </w:p>
        </w:tc>
      </w:tr>
    </w:tbl>
    <w:p>
      <w:pPr>
        <w:spacing w:after="0"/>
      </w:pPr>
    </w:p>
    <w:p>
      <w:pPr>
        <w:pStyle w:val="Kicker"/>
        <w:pageBreakBefore/>
      </w:pPr>
      <w:r>
        <w:t>02 · SCENE 1: DAM</w:t>
      </w:r>
    </w:p>
    <w:p>
      <w:pPr>
        <w:pStyle w:val="Heading1"/>
      </w:pPr>
      <w:r>
        <w:t>Scene 1: Dam</w:t>
      </w:r>
    </w:p>
    <w:p>
      <w:pPr>
        <w:pStyle w:val="Lead"/>
      </w:pPr>
      <w:r>
        <w:t>Det lange perspektiv gør spilleren lille, men målet tydeligt.</w:t>
      </w:r>
    </w:p>
    <w:p>
      <w:pPr>
        <w:keepNext/>
        <w:jc w:val="center"/>
      </w:pPr>
      <w:r>
        <w:drawing>
          <wp:inline xmlns:a="http://schemas.openxmlformats.org/drawingml/2006/main" xmlns:pic="http://schemas.openxmlformats.org/drawingml/2006/picture">
            <wp:extent cx="5832000" cy="3280500"/>
            <wp:docPr id="2" name="Picture 2" descr="Billede 1. Dam-missionen. Officielt screenshot fra Xbox / Rare." title="Billede 1. Dam-missionen. Officielt screenshot fra Xbox / Rare."/>
            <wp:cNvGraphicFramePr>
              <a:graphicFrameLocks noChangeAspect="1"/>
            </wp:cNvGraphicFramePr>
            <a:graphic>
              <a:graphicData uri="http://schemas.openxmlformats.org/drawingml/2006/picture">
                <pic:pic>
                  <pic:nvPicPr>
                    <pic:cNvPr id="0" name="goldeneye-dam.png"/>
                    <pic:cNvPicPr/>
                  </pic:nvPicPr>
                  <pic:blipFill>
                    <a:blip r:embed="rId11"/>
                    <a:stretch>
                      <a:fillRect/>
                    </a:stretch>
                  </pic:blipFill>
                  <pic:spPr>
                    <a:xfrm>
                      <a:off x="0" y="0"/>
                      <a:ext cx="5832000" cy="3280500"/>
                    </a:xfrm>
                    <a:prstGeom prst="rect"/>
                  </pic:spPr>
                </pic:pic>
              </a:graphicData>
            </a:graphic>
          </wp:inline>
        </w:drawing>
      </w:r>
    </w:p>
    <w:p>
      <w:pPr>
        <w:spacing w:after="200"/>
        <w:jc w:val="center"/>
      </w:pPr>
      <w:r>
        <w:rPr>
          <w:rFonts w:ascii="Arial" w:hAnsi="Arial"/>
          <w:b w:val="0"/>
          <w:i/>
          <w:color w:val="665F56"/>
          <w:sz w:val="16"/>
        </w:rPr>
        <w:t>Billede 1. Dam-missionen. Officielt screenshot fra Xbox / Rare.</w:t>
      </w:r>
    </w:p>
    <w:p>
      <w:pPr>
        <w:spacing w:after="180" w:line="300" w:lineRule="auto"/>
      </w:pPr>
      <w:r>
        <w:rPr>
          <w:rFonts w:ascii="Georgia" w:hAnsi="Georgia"/>
          <w:b w:val="0"/>
          <w:color w:val="0B0C0E"/>
          <w:sz w:val="22"/>
        </w:rPr>
        <w:t>Banen åbner med en lang, grå dæmning mellem mørkeblå bjerge. Gelænderet og vejens kanter fungerer som linjer, der trækker blikket mod vagttårnet. Der er ikke brug for et neonskilt med teksten 'gå denne vej'. Rummet forklarer opgaven.</w:t>
      </w:r>
    </w:p>
    <w:p>
      <w:pPr>
        <w:spacing w:after="180" w:line="300" w:lineRule="auto"/>
      </w:pPr>
      <w:r>
        <w:rPr>
          <w:rFonts w:ascii="Georgia" w:hAnsi="Georgia"/>
          <w:b w:val="0"/>
          <w:color w:val="0B0C0E"/>
          <w:sz w:val="22"/>
        </w:rPr>
        <w:t>Førstepersonsperspektivet gør samtidig spilleren fysisk til stede. Våbnet ligger i forgrunden, mens anlægget og bjergene virker langt større end Bond. Det skaber en interessant dobbelthed: Spilleren er lille i billedet, men hele missionen afhænger af spillerens handlinger.</w:t>
      </w:r>
    </w:p>
    <w:p>
      <w:pPr>
        <w:spacing w:after="180" w:line="300" w:lineRule="auto"/>
      </w:pPr>
      <w:r>
        <w:rPr>
          <w:rFonts w:ascii="Georgia" w:hAnsi="Georgia"/>
          <w:b w:val="0"/>
          <w:color w:val="0B0C0E"/>
          <w:sz w:val="22"/>
        </w:rPr>
        <w:t>Da missionen slutter med springet fra dæmningen, bliver bevægelsen til et filmisk højdepunkt. I filmen kan publikum beundre stuntet. I spillet skal spilleren selv nå kanten. Det er netop her, GoldenEye finder sin styrke som adaptation: Handlingen bliver ikke kun vist, men udført.</w:t>
      </w:r>
    </w:p>
    <w:p>
      <w:pPr>
        <w:pStyle w:val="Heading2"/>
      </w:pPr>
      <w:r>
        <w:t>Hvad billedet gør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2665"/>
            <w:vAlign w:val="center"/>
            <w:tcMar>
              <w:top w:w="130" w:type="dxa"/>
              <w:start w:w="150" w:type="dxa"/>
              <w:bottom w:w="130" w:type="dxa"/>
              <w:end w:w="150" w:type="dxa"/>
            </w:tcMar>
            <w:shd w:fill="17191D"/>
          </w:tcPr>
          <w:p>
            <w:pPr>
              <w:spacing w:after="0"/>
              <w:jc w:val="left"/>
            </w:pPr>
            <w:r/>
            <w:r>
              <w:rPr>
                <w:rFonts w:ascii="Arial" w:hAnsi="Arial"/>
                <w:b/>
                <w:color w:val="FFFFFF"/>
                <w:sz w:val="16"/>
              </w:rPr>
              <w:t>Virkemiddel</w:t>
            </w:r>
          </w:p>
        </w:tc>
        <w:tc>
          <w:tcPr>
            <w:tcW w:type="dxa" w:w="6576"/>
            <w:vAlign w:val="center"/>
            <w:tcMar>
              <w:top w:w="130" w:type="dxa"/>
              <w:start w:w="150" w:type="dxa"/>
              <w:bottom w:w="130" w:type="dxa"/>
              <w:end w:w="150" w:type="dxa"/>
            </w:tcMar>
            <w:shd w:fill="17191D"/>
          </w:tcPr>
          <w:p>
            <w:pPr>
              <w:spacing w:after="0"/>
              <w:jc w:val="left"/>
            </w:pPr>
            <w:r/>
            <w:r>
              <w:rPr>
                <w:rFonts w:ascii="Arial" w:hAnsi="Arial"/>
                <w:b/>
                <w:color w:val="FFFFFF"/>
                <w:sz w:val="16"/>
              </w:rPr>
              <w:t>Virkning</w:t>
            </w:r>
          </w:p>
        </w:tc>
      </w:tr>
      <w:tr>
        <w:tc>
          <w:tcPr>
            <w:tcW w:type="dxa" w:w="2665"/>
            <w:vAlign w:val="center"/>
            <w:tcMar>
              <w:top w:w="130" w:type="dxa"/>
              <w:start w:w="150" w:type="dxa"/>
              <w:bottom w:w="130" w:type="dxa"/>
              <w:end w:w="150" w:type="dxa"/>
            </w:tcMar>
          </w:tcPr>
          <w:p>
            <w:pPr>
              <w:spacing w:after="0"/>
              <w:jc w:val="left"/>
            </w:pPr>
            <w:r/>
            <w:r>
              <w:rPr>
                <w:rFonts w:ascii="Arial" w:hAnsi="Arial"/>
                <w:b w:val="0"/>
                <w:color w:val="0B0C0E"/>
                <w:sz w:val="17"/>
              </w:rPr>
              <w:t>Perspektiv</w:t>
            </w:r>
          </w:p>
        </w:tc>
        <w:tc>
          <w:tcPr>
            <w:tcW w:type="dxa" w:w="6576"/>
            <w:vAlign w:val="center"/>
            <w:tcMar>
              <w:top w:w="130" w:type="dxa"/>
              <w:start w:w="150" w:type="dxa"/>
              <w:bottom w:w="130" w:type="dxa"/>
              <w:end w:w="150" w:type="dxa"/>
            </w:tcMar>
          </w:tcPr>
          <w:p>
            <w:pPr>
              <w:spacing w:after="0"/>
              <w:jc w:val="left"/>
            </w:pPr>
            <w:r/>
            <w:r>
              <w:rPr>
                <w:rFonts w:ascii="Arial" w:hAnsi="Arial"/>
                <w:b w:val="0"/>
                <w:color w:val="0B0C0E"/>
                <w:sz w:val="17"/>
              </w:rPr>
              <w:t>Forsvindingslinjer leder spilleren mod næste område</w:t>
            </w:r>
          </w:p>
        </w:tc>
      </w:tr>
      <w:tr>
        <w:tc>
          <w:tcPr>
            <w:tcW w:type="dxa" w:w="2665"/>
            <w:vAlign w:val="center"/>
            <w:tcMar>
              <w:top w:w="130" w:type="dxa"/>
              <w:start w:w="150" w:type="dxa"/>
              <w:bottom w:w="130" w:type="dxa"/>
              <w:end w:w="150" w:type="dxa"/>
            </w:tcMar>
            <w:shd w:fill="EEF1F3"/>
          </w:tcPr>
          <w:p>
            <w:pPr>
              <w:spacing w:after="0"/>
              <w:jc w:val="left"/>
            </w:pPr>
            <w:r/>
            <w:r>
              <w:rPr>
                <w:rFonts w:ascii="Arial" w:hAnsi="Arial"/>
                <w:b w:val="0"/>
                <w:color w:val="0B0C0E"/>
                <w:sz w:val="17"/>
              </w:rPr>
              <w:t>Farver</w:t>
            </w:r>
          </w:p>
        </w:tc>
        <w:tc>
          <w:tcPr>
            <w:tcW w:type="dxa" w:w="6576"/>
            <w:vAlign w:val="center"/>
            <w:tcMar>
              <w:top w:w="130" w:type="dxa"/>
              <w:start w:w="150" w:type="dxa"/>
              <w:bottom w:w="130" w:type="dxa"/>
              <w:end w:w="150" w:type="dxa"/>
            </w:tcMar>
            <w:shd w:fill="EEF1F3"/>
          </w:tcPr>
          <w:p>
            <w:pPr>
              <w:spacing w:after="0"/>
              <w:jc w:val="left"/>
            </w:pPr>
            <w:r/>
            <w:r>
              <w:rPr>
                <w:rFonts w:ascii="Arial" w:hAnsi="Arial"/>
                <w:b w:val="0"/>
                <w:color w:val="0B0C0E"/>
                <w:sz w:val="17"/>
              </w:rPr>
              <w:t>Blå kulde og grå beton skaber isolation og alvor</w:t>
            </w:r>
          </w:p>
        </w:tc>
      </w:tr>
      <w:tr>
        <w:tc>
          <w:tcPr>
            <w:tcW w:type="dxa" w:w="2665"/>
            <w:vAlign w:val="center"/>
            <w:tcMar>
              <w:top w:w="130" w:type="dxa"/>
              <w:start w:w="150" w:type="dxa"/>
              <w:bottom w:w="130" w:type="dxa"/>
              <w:end w:w="150" w:type="dxa"/>
            </w:tcMar>
          </w:tcPr>
          <w:p>
            <w:pPr>
              <w:spacing w:after="0"/>
              <w:jc w:val="left"/>
            </w:pPr>
            <w:r/>
            <w:r>
              <w:rPr>
                <w:rFonts w:ascii="Arial" w:hAnsi="Arial"/>
                <w:b w:val="0"/>
                <w:color w:val="0B0C0E"/>
                <w:sz w:val="17"/>
              </w:rPr>
              <w:t>Rum</w:t>
            </w:r>
          </w:p>
        </w:tc>
        <w:tc>
          <w:tcPr>
            <w:tcW w:type="dxa" w:w="6576"/>
            <w:vAlign w:val="center"/>
            <w:tcMar>
              <w:top w:w="130" w:type="dxa"/>
              <w:start w:w="150" w:type="dxa"/>
              <w:bottom w:w="130" w:type="dxa"/>
              <w:end w:w="150" w:type="dxa"/>
            </w:tcMar>
          </w:tcPr>
          <w:p>
            <w:pPr>
              <w:spacing w:after="0"/>
              <w:jc w:val="left"/>
            </w:pPr>
            <w:r/>
            <w:r>
              <w:rPr>
                <w:rFonts w:ascii="Arial" w:hAnsi="Arial"/>
                <w:b w:val="0"/>
                <w:color w:val="0B0C0E"/>
                <w:sz w:val="17"/>
              </w:rPr>
              <w:t>Det åbne landskab står i kontrast til de senere tætte baser</w:t>
            </w:r>
          </w:p>
        </w:tc>
      </w:tr>
      <w:tr>
        <w:tc>
          <w:tcPr>
            <w:tcW w:type="dxa" w:w="2665"/>
            <w:vAlign w:val="center"/>
            <w:tcMar>
              <w:top w:w="130" w:type="dxa"/>
              <w:start w:w="150" w:type="dxa"/>
              <w:bottom w:w="130" w:type="dxa"/>
              <w:end w:w="150" w:type="dxa"/>
            </w:tcMar>
            <w:shd w:fill="EEF1F3"/>
          </w:tcPr>
          <w:p>
            <w:pPr>
              <w:spacing w:after="0"/>
              <w:jc w:val="left"/>
            </w:pPr>
            <w:r/>
            <w:r>
              <w:rPr>
                <w:rFonts w:ascii="Arial" w:hAnsi="Arial"/>
                <w:b w:val="0"/>
                <w:color w:val="0B0C0E"/>
                <w:sz w:val="17"/>
              </w:rPr>
              <w:t>Handling</w:t>
            </w:r>
          </w:p>
        </w:tc>
        <w:tc>
          <w:tcPr>
            <w:tcW w:type="dxa" w:w="6576"/>
            <w:vAlign w:val="center"/>
            <w:tcMar>
              <w:top w:w="130" w:type="dxa"/>
              <w:start w:w="150" w:type="dxa"/>
              <w:bottom w:w="130" w:type="dxa"/>
              <w:end w:w="150" w:type="dxa"/>
            </w:tcMar>
            <w:shd w:fill="EEF1F3"/>
          </w:tcPr>
          <w:p>
            <w:pPr>
              <w:spacing w:after="0"/>
              <w:jc w:val="left"/>
            </w:pPr>
            <w:r/>
            <w:r>
              <w:rPr>
                <w:rFonts w:ascii="Arial" w:hAnsi="Arial"/>
                <w:b w:val="0"/>
                <w:color w:val="0B0C0E"/>
                <w:sz w:val="17"/>
              </w:rPr>
              <w:t>Springet omdanner filmens stunt til spillerens beslutning</w:t>
            </w:r>
          </w:p>
        </w:tc>
      </w:tr>
    </w:tbl>
    <w:p>
      <w:pPr>
        <w:spacing w:after="0"/>
      </w:pPr>
    </w:p>
    <w:p>
      <w:pPr>
        <w:pStyle w:val="Kicker"/>
        <w:pageBreakBefore/>
      </w:pPr>
      <w:r>
        <w:t>03 · SCENE 2: SILO</w:t>
      </w:r>
    </w:p>
    <w:p>
      <w:pPr>
        <w:pStyle w:val="Heading1"/>
      </w:pPr>
      <w:r>
        <w:t>Scene 2: Silo</w:t>
      </w:r>
    </w:p>
    <w:p>
      <w:pPr>
        <w:pStyle w:val="Lead"/>
      </w:pPr>
      <w:r>
        <w:t>Et missil bliver til arkitektur og gør truslen fysisk.</w:t>
      </w:r>
    </w:p>
    <w:p>
      <w:pPr>
        <w:keepNext/>
        <w:jc w:val="center"/>
      </w:pPr>
      <w:r>
        <w:drawing>
          <wp:inline xmlns:a="http://schemas.openxmlformats.org/drawingml/2006/main" xmlns:pic="http://schemas.openxmlformats.org/drawingml/2006/picture">
            <wp:extent cx="5832000" cy="3280500"/>
            <wp:docPr id="3" name="Picture 3" descr="Billede 2. Missilsiloen set nedefra. Officielt screenshot fra Xbox / Rare." title="Billede 2. Missilsiloen set nedefra. Officielt screenshot fra Xbox / Rare."/>
            <wp:cNvGraphicFramePr>
              <a:graphicFrameLocks noChangeAspect="1"/>
            </wp:cNvGraphicFramePr>
            <a:graphic>
              <a:graphicData uri="http://schemas.openxmlformats.org/drawingml/2006/picture">
                <pic:pic>
                  <pic:nvPicPr>
                    <pic:cNvPr id="0" name="goldeneye-silo.png"/>
                    <pic:cNvPicPr/>
                  </pic:nvPicPr>
                  <pic:blipFill>
                    <a:blip r:embed="rId12"/>
                    <a:stretch>
                      <a:fillRect/>
                    </a:stretch>
                  </pic:blipFill>
                  <pic:spPr>
                    <a:xfrm>
                      <a:off x="0" y="0"/>
                      <a:ext cx="5832000" cy="3280500"/>
                    </a:xfrm>
                    <a:prstGeom prst="rect"/>
                  </pic:spPr>
                </pic:pic>
              </a:graphicData>
            </a:graphic>
          </wp:inline>
        </w:drawing>
      </w:r>
    </w:p>
    <w:p>
      <w:pPr>
        <w:spacing w:after="200"/>
        <w:jc w:val="center"/>
      </w:pPr>
      <w:r>
        <w:rPr>
          <w:rFonts w:ascii="Arial" w:hAnsi="Arial"/>
          <w:b w:val="0"/>
          <w:i/>
          <w:color w:val="665F56"/>
          <w:sz w:val="16"/>
        </w:rPr>
        <w:t>Billede 2. Missilsiloen set nedefra. Officielt screenshot fra Xbox / Rare.</w:t>
      </w:r>
    </w:p>
    <w:p>
      <w:pPr>
        <w:spacing w:after="180" w:line="300" w:lineRule="auto"/>
      </w:pPr>
      <w:r>
        <w:rPr>
          <w:rFonts w:ascii="Georgia" w:hAnsi="Georgia"/>
          <w:b w:val="0"/>
          <w:color w:val="0B0C0E"/>
          <w:sz w:val="22"/>
        </w:rPr>
        <w:t>I silo-scenen står missilet som en mørk kile midt i billedet. De runde vægge, rørene og gangbroerne danner lag omkring det. Det lave perspektiv tvinger blikket opad og får teknologien til at virke større end både Bond og spilleren.</w:t>
      </w:r>
    </w:p>
    <w:p>
      <w:pPr>
        <w:spacing w:after="180" w:line="300" w:lineRule="auto"/>
      </w:pPr>
      <w:r>
        <w:rPr>
          <w:rFonts w:ascii="Georgia" w:hAnsi="Georgia"/>
          <w:b w:val="0"/>
          <w:color w:val="0B0C0E"/>
          <w:sz w:val="22"/>
        </w:rPr>
        <w:t>Det røde lys ligner alarm og varme, mens det kolde blå lys giver rummet et mekanisk præg. Grafikken har få polygoner og gentager mange overflader, men begrænsningen gør faktisk motivet mere grafisk og let at aflæse. Man ser straks centrum, højden og faren.</w:t>
      </w:r>
    </w:p>
    <w:p>
      <w:pPr>
        <w:spacing w:after="180" w:line="300" w:lineRule="auto"/>
      </w:pPr>
      <w:r>
        <w:rPr>
          <w:rFonts w:ascii="Georgia" w:hAnsi="Georgia"/>
          <w:b w:val="0"/>
          <w:color w:val="0B0C0E"/>
          <w:sz w:val="22"/>
        </w:rPr>
        <w:t>Her viser spillet, at detaljer ikke er det samme som virkning. Et moderne spil kunne fylde rummet med kabler, partikler og blanke materialer. GoldenEye bruger i stedet en tydelig form og en enkel farvekontrast. Resultatet er gammelt at se på, men klart at forstå.</w:t>
      </w:r>
    </w:p>
    <w:p>
      <w:pPr>
        <w:pStyle w:val="Heading2"/>
      </w:pPr>
      <w:r>
        <w:t>Hvad billedet gør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2665"/>
            <w:vAlign w:val="center"/>
            <w:tcMar>
              <w:top w:w="130" w:type="dxa"/>
              <w:start w:w="150" w:type="dxa"/>
              <w:bottom w:w="130" w:type="dxa"/>
              <w:end w:w="150" w:type="dxa"/>
            </w:tcMar>
            <w:shd w:fill="17191D"/>
          </w:tcPr>
          <w:p>
            <w:pPr>
              <w:spacing w:after="0"/>
              <w:jc w:val="left"/>
            </w:pPr>
            <w:r/>
            <w:r>
              <w:rPr>
                <w:rFonts w:ascii="Arial" w:hAnsi="Arial"/>
                <w:b/>
                <w:color w:val="FFFFFF"/>
                <w:sz w:val="16"/>
              </w:rPr>
              <w:t>Virkemiddel</w:t>
            </w:r>
          </w:p>
        </w:tc>
        <w:tc>
          <w:tcPr>
            <w:tcW w:type="dxa" w:w="6576"/>
            <w:vAlign w:val="center"/>
            <w:tcMar>
              <w:top w:w="130" w:type="dxa"/>
              <w:start w:w="150" w:type="dxa"/>
              <w:bottom w:w="130" w:type="dxa"/>
              <w:end w:w="150" w:type="dxa"/>
            </w:tcMar>
            <w:shd w:fill="17191D"/>
          </w:tcPr>
          <w:p>
            <w:pPr>
              <w:spacing w:after="0"/>
              <w:jc w:val="left"/>
            </w:pPr>
            <w:r/>
            <w:r>
              <w:rPr>
                <w:rFonts w:ascii="Arial" w:hAnsi="Arial"/>
                <w:b/>
                <w:color w:val="FFFFFF"/>
                <w:sz w:val="16"/>
              </w:rPr>
              <w:t>Virkning</w:t>
            </w:r>
          </w:p>
        </w:tc>
      </w:tr>
      <w:tr>
        <w:tc>
          <w:tcPr>
            <w:tcW w:type="dxa" w:w="2665"/>
            <w:vAlign w:val="center"/>
            <w:tcMar>
              <w:top w:w="130" w:type="dxa"/>
              <w:start w:w="150" w:type="dxa"/>
              <w:bottom w:w="130" w:type="dxa"/>
              <w:end w:w="150" w:type="dxa"/>
            </w:tcMar>
          </w:tcPr>
          <w:p>
            <w:pPr>
              <w:spacing w:after="0"/>
              <w:jc w:val="left"/>
            </w:pPr>
            <w:r/>
            <w:r>
              <w:rPr>
                <w:rFonts w:ascii="Arial" w:hAnsi="Arial"/>
                <w:b w:val="0"/>
                <w:color w:val="0B0C0E"/>
                <w:sz w:val="17"/>
              </w:rPr>
              <w:t>Komposition</w:t>
            </w:r>
          </w:p>
        </w:tc>
        <w:tc>
          <w:tcPr>
            <w:tcW w:type="dxa" w:w="6576"/>
            <w:vAlign w:val="center"/>
            <w:tcMar>
              <w:top w:w="130" w:type="dxa"/>
              <w:start w:w="150" w:type="dxa"/>
              <w:bottom w:w="130" w:type="dxa"/>
              <w:end w:w="150" w:type="dxa"/>
            </w:tcMar>
          </w:tcPr>
          <w:p>
            <w:pPr>
              <w:spacing w:after="0"/>
              <w:jc w:val="left"/>
            </w:pPr>
            <w:r/>
            <w:r>
              <w:rPr>
                <w:rFonts w:ascii="Arial" w:hAnsi="Arial"/>
                <w:b w:val="0"/>
                <w:color w:val="0B0C0E"/>
                <w:sz w:val="17"/>
              </w:rPr>
              <w:t>Missilet deler billedet og fungerer som sceneens visuelle centrum</w:t>
            </w:r>
          </w:p>
        </w:tc>
      </w:tr>
      <w:tr>
        <w:tc>
          <w:tcPr>
            <w:tcW w:type="dxa" w:w="2665"/>
            <w:vAlign w:val="center"/>
            <w:tcMar>
              <w:top w:w="130" w:type="dxa"/>
              <w:start w:w="150" w:type="dxa"/>
              <w:bottom w:w="130" w:type="dxa"/>
              <w:end w:w="150" w:type="dxa"/>
            </w:tcMar>
            <w:shd w:fill="EEF1F3"/>
          </w:tcPr>
          <w:p>
            <w:pPr>
              <w:spacing w:after="0"/>
              <w:jc w:val="left"/>
            </w:pPr>
            <w:r/>
            <w:r>
              <w:rPr>
                <w:rFonts w:ascii="Arial" w:hAnsi="Arial"/>
                <w:b w:val="0"/>
                <w:color w:val="0B0C0E"/>
                <w:sz w:val="17"/>
              </w:rPr>
              <w:t>Perspektiv</w:t>
            </w:r>
          </w:p>
        </w:tc>
        <w:tc>
          <w:tcPr>
            <w:tcW w:type="dxa" w:w="6576"/>
            <w:vAlign w:val="center"/>
            <w:tcMar>
              <w:top w:w="130" w:type="dxa"/>
              <w:start w:w="150" w:type="dxa"/>
              <w:bottom w:w="130" w:type="dxa"/>
              <w:end w:w="150" w:type="dxa"/>
            </w:tcMar>
            <w:shd w:fill="EEF1F3"/>
          </w:tcPr>
          <w:p>
            <w:pPr>
              <w:spacing w:after="0"/>
              <w:jc w:val="left"/>
            </w:pPr>
            <w:r/>
            <w:r>
              <w:rPr>
                <w:rFonts w:ascii="Arial" w:hAnsi="Arial"/>
                <w:b w:val="0"/>
                <w:color w:val="0B0C0E"/>
                <w:sz w:val="17"/>
              </w:rPr>
              <w:t>Frøperspektivet giver våbnet magt og størrelse</w:t>
            </w:r>
          </w:p>
        </w:tc>
      </w:tr>
      <w:tr>
        <w:tc>
          <w:tcPr>
            <w:tcW w:type="dxa" w:w="2665"/>
            <w:vAlign w:val="center"/>
            <w:tcMar>
              <w:top w:w="130" w:type="dxa"/>
              <w:start w:w="150" w:type="dxa"/>
              <w:bottom w:w="130" w:type="dxa"/>
              <w:end w:w="150" w:type="dxa"/>
            </w:tcMar>
          </w:tcPr>
          <w:p>
            <w:pPr>
              <w:spacing w:after="0"/>
              <w:jc w:val="left"/>
            </w:pPr>
            <w:r/>
            <w:r>
              <w:rPr>
                <w:rFonts w:ascii="Arial" w:hAnsi="Arial"/>
                <w:b w:val="0"/>
                <w:color w:val="0B0C0E"/>
                <w:sz w:val="17"/>
              </w:rPr>
              <w:t>Farver</w:t>
            </w:r>
          </w:p>
        </w:tc>
        <w:tc>
          <w:tcPr>
            <w:tcW w:type="dxa" w:w="6576"/>
            <w:vAlign w:val="center"/>
            <w:tcMar>
              <w:top w:w="130" w:type="dxa"/>
              <w:start w:w="150" w:type="dxa"/>
              <w:bottom w:w="130" w:type="dxa"/>
              <w:end w:w="150" w:type="dxa"/>
            </w:tcMar>
          </w:tcPr>
          <w:p>
            <w:pPr>
              <w:spacing w:after="0"/>
              <w:jc w:val="left"/>
            </w:pPr>
            <w:r/>
            <w:r>
              <w:rPr>
                <w:rFonts w:ascii="Arial" w:hAnsi="Arial"/>
                <w:b w:val="0"/>
                <w:color w:val="0B0C0E"/>
                <w:sz w:val="17"/>
              </w:rPr>
              <w:t>Rødt alarmlys møder koldt teknisk lys</w:t>
            </w:r>
          </w:p>
        </w:tc>
      </w:tr>
      <w:tr>
        <w:tc>
          <w:tcPr>
            <w:tcW w:type="dxa" w:w="2665"/>
            <w:vAlign w:val="center"/>
            <w:tcMar>
              <w:top w:w="130" w:type="dxa"/>
              <w:start w:w="150" w:type="dxa"/>
              <w:bottom w:w="130" w:type="dxa"/>
              <w:end w:w="150" w:type="dxa"/>
            </w:tcMar>
            <w:shd w:fill="EEF1F3"/>
          </w:tcPr>
          <w:p>
            <w:pPr>
              <w:spacing w:after="0"/>
              <w:jc w:val="left"/>
            </w:pPr>
            <w:r/>
            <w:r>
              <w:rPr>
                <w:rFonts w:ascii="Arial" w:hAnsi="Arial"/>
                <w:b w:val="0"/>
                <w:color w:val="0B0C0E"/>
                <w:sz w:val="17"/>
              </w:rPr>
              <w:t>Detaljegrad</w:t>
            </w:r>
          </w:p>
        </w:tc>
        <w:tc>
          <w:tcPr>
            <w:tcW w:type="dxa" w:w="6576"/>
            <w:vAlign w:val="center"/>
            <w:tcMar>
              <w:top w:w="130" w:type="dxa"/>
              <w:start w:w="150" w:type="dxa"/>
              <w:bottom w:w="130" w:type="dxa"/>
              <w:end w:w="150" w:type="dxa"/>
            </w:tcMar>
            <w:shd w:fill="EEF1F3"/>
          </w:tcPr>
          <w:p>
            <w:pPr>
              <w:spacing w:after="0"/>
              <w:jc w:val="left"/>
            </w:pPr>
            <w:r/>
            <w:r>
              <w:rPr>
                <w:rFonts w:ascii="Arial" w:hAnsi="Arial"/>
                <w:b w:val="0"/>
                <w:color w:val="0B0C0E"/>
                <w:sz w:val="17"/>
              </w:rPr>
              <w:t>Gentagelser og få former gør det komplekse rum læsbart</w:t>
            </w:r>
          </w:p>
        </w:tc>
      </w:tr>
    </w:tbl>
    <w:p>
      <w:pPr>
        <w:spacing w:after="0"/>
      </w:pPr>
    </w:p>
    <w:p>
      <w:pPr>
        <w:pStyle w:val="Kicker"/>
        <w:pageBreakBefore/>
      </w:pPr>
      <w:r>
        <w:t>04 · SCENE 3: TRAIN</w:t>
      </w:r>
    </w:p>
    <w:p>
      <w:pPr>
        <w:pStyle w:val="Heading1"/>
      </w:pPr>
      <w:r>
        <w:t>Scene 3: Train</w:t>
      </w:r>
    </w:p>
    <w:p>
      <w:pPr>
        <w:pStyle w:val="Lead"/>
      </w:pPr>
      <w:r>
        <w:t>Gadgeten er ikke pynt. Den ændrer, hvad spilleren kan gøre.</w:t>
      </w:r>
    </w:p>
    <w:p>
      <w:pPr>
        <w:keepNext/>
        <w:jc w:val="center"/>
      </w:pPr>
      <w:r>
        <w:drawing>
          <wp:inline xmlns:a="http://schemas.openxmlformats.org/drawingml/2006/main" xmlns:pic="http://schemas.openxmlformats.org/drawingml/2006/picture">
            <wp:extent cx="5832000" cy="3280500"/>
            <wp:docPr id="4" name="Picture 4" descr="Billede 3. Bond bruger laseruret på en metalplade i Train-missionen. Officielt screenshot fra Xbox / Rare." title="Billede 3. Bond bruger laseruret på en metalplade i Train-missionen. Officielt screenshot fra Xbox / Rare."/>
            <wp:cNvGraphicFramePr>
              <a:graphicFrameLocks noChangeAspect="1"/>
            </wp:cNvGraphicFramePr>
            <a:graphic>
              <a:graphicData uri="http://schemas.openxmlformats.org/drawingml/2006/picture">
                <pic:pic>
                  <pic:nvPicPr>
                    <pic:cNvPr id="0" name="goldeneye-watch.png"/>
                    <pic:cNvPicPr/>
                  </pic:nvPicPr>
                  <pic:blipFill>
                    <a:blip r:embed="rId13"/>
                    <a:stretch>
                      <a:fillRect/>
                    </a:stretch>
                  </pic:blipFill>
                  <pic:spPr>
                    <a:xfrm>
                      <a:off x="0" y="0"/>
                      <a:ext cx="5832000" cy="3280500"/>
                    </a:xfrm>
                    <a:prstGeom prst="rect"/>
                  </pic:spPr>
                </pic:pic>
              </a:graphicData>
            </a:graphic>
          </wp:inline>
        </w:drawing>
      </w:r>
    </w:p>
    <w:p>
      <w:pPr>
        <w:spacing w:after="200"/>
        <w:jc w:val="center"/>
      </w:pPr>
      <w:r>
        <w:rPr>
          <w:rFonts w:ascii="Arial" w:hAnsi="Arial"/>
          <w:b w:val="0"/>
          <w:i/>
          <w:color w:val="665F56"/>
          <w:sz w:val="16"/>
        </w:rPr>
        <w:t>Billede 3. Bond bruger laseruret på en metalplade i Train-missionen. Officielt screenshot fra Xbox / Rare.</w:t>
      </w:r>
    </w:p>
    <w:p>
      <w:pPr>
        <w:spacing w:after="180" w:line="300" w:lineRule="auto"/>
      </w:pPr>
      <w:r>
        <w:rPr>
          <w:rFonts w:ascii="Georgia" w:hAnsi="Georgia"/>
          <w:b w:val="0"/>
          <w:color w:val="0B0C0E"/>
          <w:sz w:val="22"/>
        </w:rPr>
        <w:t>Kameraet går helt tæt på hånden, uret og den blå laser. Næsten hele det normale rum forsvinder. I stedet samles opmærksomheden om en lille metalplade og den handling, der kan åbne vejen videre.</w:t>
      </w:r>
    </w:p>
    <w:p>
      <w:pPr>
        <w:spacing w:after="180" w:line="300" w:lineRule="auto"/>
      </w:pPr>
      <w:r>
        <w:rPr>
          <w:rFonts w:ascii="Georgia" w:hAnsi="Georgia"/>
          <w:b w:val="0"/>
          <w:color w:val="0B0C0E"/>
          <w:sz w:val="22"/>
        </w:rPr>
        <w:t>Scenen bruger figur og grund meget enkelt. Den lyse gnist og laserlinjen står skarpt mod det mørke metal og de grønne vægge. Spilleren er ikke i tvivl om, hvad der reagerer. Det er visuel feedback: Tryk, lys, fremdrift.</w:t>
      </w:r>
    </w:p>
    <w:p>
      <w:pPr>
        <w:spacing w:after="180" w:line="300" w:lineRule="auto"/>
      </w:pPr>
      <w:r>
        <w:rPr>
          <w:rFonts w:ascii="Georgia" w:hAnsi="Georgia"/>
          <w:b w:val="0"/>
          <w:color w:val="0B0C0E"/>
          <w:sz w:val="22"/>
        </w:rPr>
        <w:t>Gadgeten er vigtig, fordi den forklarer Bond uden en lang dialog. Han er ikke kun en mand med et våben. Han har adgang til særligt udstyr og kan ændre situationen ved at vælge det rigtige redskab. Moderne spil kalder det ofte environmental interaction. GoldenEye gør det med et armbåndsur.</w:t>
      </w:r>
    </w:p>
    <w:p>
      <w:pPr>
        <w:pStyle w:val="Heading2"/>
      </w:pPr>
      <w:r>
        <w:t>Hvad billedet gør</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2665"/>
            <w:vAlign w:val="center"/>
            <w:tcMar>
              <w:top w:w="130" w:type="dxa"/>
              <w:start w:w="150" w:type="dxa"/>
              <w:bottom w:w="130" w:type="dxa"/>
              <w:end w:w="150" w:type="dxa"/>
            </w:tcMar>
            <w:shd w:fill="17191D"/>
          </w:tcPr>
          <w:p>
            <w:pPr>
              <w:spacing w:after="0"/>
              <w:jc w:val="left"/>
            </w:pPr>
            <w:r/>
            <w:r>
              <w:rPr>
                <w:rFonts w:ascii="Arial" w:hAnsi="Arial"/>
                <w:b/>
                <w:color w:val="FFFFFF"/>
                <w:sz w:val="16"/>
              </w:rPr>
              <w:t>Virkemiddel</w:t>
            </w:r>
          </w:p>
        </w:tc>
        <w:tc>
          <w:tcPr>
            <w:tcW w:type="dxa" w:w="6576"/>
            <w:vAlign w:val="center"/>
            <w:tcMar>
              <w:top w:w="130" w:type="dxa"/>
              <w:start w:w="150" w:type="dxa"/>
              <w:bottom w:w="130" w:type="dxa"/>
              <w:end w:w="150" w:type="dxa"/>
            </w:tcMar>
            <w:shd w:fill="17191D"/>
          </w:tcPr>
          <w:p>
            <w:pPr>
              <w:spacing w:after="0"/>
              <w:jc w:val="left"/>
            </w:pPr>
            <w:r/>
            <w:r>
              <w:rPr>
                <w:rFonts w:ascii="Arial" w:hAnsi="Arial"/>
                <w:b/>
                <w:color w:val="FFFFFF"/>
                <w:sz w:val="16"/>
              </w:rPr>
              <w:t>Virkning</w:t>
            </w:r>
          </w:p>
        </w:tc>
      </w:tr>
      <w:tr>
        <w:tc>
          <w:tcPr>
            <w:tcW w:type="dxa" w:w="2665"/>
            <w:vAlign w:val="center"/>
            <w:tcMar>
              <w:top w:w="130" w:type="dxa"/>
              <w:start w:w="150" w:type="dxa"/>
              <w:bottom w:w="130" w:type="dxa"/>
              <w:end w:w="150" w:type="dxa"/>
            </w:tcMar>
          </w:tcPr>
          <w:p>
            <w:pPr>
              <w:spacing w:after="0"/>
              <w:jc w:val="left"/>
            </w:pPr>
            <w:r/>
            <w:r>
              <w:rPr>
                <w:rFonts w:ascii="Arial" w:hAnsi="Arial"/>
                <w:b w:val="0"/>
                <w:color w:val="0B0C0E"/>
                <w:sz w:val="17"/>
              </w:rPr>
              <w:t>Beskæring</w:t>
            </w:r>
          </w:p>
        </w:tc>
        <w:tc>
          <w:tcPr>
            <w:tcW w:type="dxa" w:w="6576"/>
            <w:vAlign w:val="center"/>
            <w:tcMar>
              <w:top w:w="130" w:type="dxa"/>
              <w:start w:w="150" w:type="dxa"/>
              <w:bottom w:w="130" w:type="dxa"/>
              <w:end w:w="150" w:type="dxa"/>
            </w:tcMar>
          </w:tcPr>
          <w:p>
            <w:pPr>
              <w:spacing w:after="0"/>
              <w:jc w:val="left"/>
            </w:pPr>
            <w:r/>
            <w:r>
              <w:rPr>
                <w:rFonts w:ascii="Arial" w:hAnsi="Arial"/>
                <w:b w:val="0"/>
                <w:color w:val="0B0C0E"/>
                <w:sz w:val="17"/>
              </w:rPr>
              <w:t>Nærbilledet fjerner støj og samler fokus om problemet</w:t>
            </w:r>
          </w:p>
        </w:tc>
      </w:tr>
      <w:tr>
        <w:tc>
          <w:tcPr>
            <w:tcW w:type="dxa" w:w="2665"/>
            <w:vAlign w:val="center"/>
            <w:tcMar>
              <w:top w:w="130" w:type="dxa"/>
              <w:start w:w="150" w:type="dxa"/>
              <w:bottom w:w="130" w:type="dxa"/>
              <w:end w:w="150" w:type="dxa"/>
            </w:tcMar>
            <w:shd w:fill="EEF1F3"/>
          </w:tcPr>
          <w:p>
            <w:pPr>
              <w:spacing w:after="0"/>
              <w:jc w:val="left"/>
            </w:pPr>
            <w:r/>
            <w:r>
              <w:rPr>
                <w:rFonts w:ascii="Arial" w:hAnsi="Arial"/>
                <w:b w:val="0"/>
                <w:color w:val="0B0C0E"/>
                <w:sz w:val="17"/>
              </w:rPr>
              <w:t>Lys</w:t>
            </w:r>
          </w:p>
        </w:tc>
        <w:tc>
          <w:tcPr>
            <w:tcW w:type="dxa" w:w="6576"/>
            <w:vAlign w:val="center"/>
            <w:tcMar>
              <w:top w:w="130" w:type="dxa"/>
              <w:start w:w="150" w:type="dxa"/>
              <w:bottom w:w="130" w:type="dxa"/>
              <w:end w:w="150" w:type="dxa"/>
            </w:tcMar>
            <w:shd w:fill="EEF1F3"/>
          </w:tcPr>
          <w:p>
            <w:pPr>
              <w:spacing w:after="0"/>
              <w:jc w:val="left"/>
            </w:pPr>
            <w:r/>
            <w:r>
              <w:rPr>
                <w:rFonts w:ascii="Arial" w:hAnsi="Arial"/>
                <w:b w:val="0"/>
                <w:color w:val="0B0C0E"/>
                <w:sz w:val="17"/>
              </w:rPr>
              <w:t>Laser og gnister giver øjeblikkelig feedback</w:t>
            </w:r>
          </w:p>
        </w:tc>
      </w:tr>
      <w:tr>
        <w:tc>
          <w:tcPr>
            <w:tcW w:type="dxa" w:w="2665"/>
            <w:vAlign w:val="center"/>
            <w:tcMar>
              <w:top w:w="130" w:type="dxa"/>
              <w:start w:w="150" w:type="dxa"/>
              <w:bottom w:w="130" w:type="dxa"/>
              <w:end w:w="150" w:type="dxa"/>
            </w:tcMar>
          </w:tcPr>
          <w:p>
            <w:pPr>
              <w:spacing w:after="0"/>
              <w:jc w:val="left"/>
            </w:pPr>
            <w:r/>
            <w:r>
              <w:rPr>
                <w:rFonts w:ascii="Arial" w:hAnsi="Arial"/>
                <w:b w:val="0"/>
                <w:color w:val="0B0C0E"/>
                <w:sz w:val="17"/>
              </w:rPr>
              <w:t>Figur/grund</w:t>
            </w:r>
          </w:p>
        </w:tc>
        <w:tc>
          <w:tcPr>
            <w:tcW w:type="dxa" w:w="6576"/>
            <w:vAlign w:val="center"/>
            <w:tcMar>
              <w:top w:w="130" w:type="dxa"/>
              <w:start w:w="150" w:type="dxa"/>
              <w:bottom w:w="130" w:type="dxa"/>
              <w:end w:w="150" w:type="dxa"/>
            </w:tcMar>
          </w:tcPr>
          <w:p>
            <w:pPr>
              <w:spacing w:after="0"/>
              <w:jc w:val="left"/>
            </w:pPr>
            <w:r/>
            <w:r>
              <w:rPr>
                <w:rFonts w:ascii="Arial" w:hAnsi="Arial"/>
                <w:b w:val="0"/>
                <w:color w:val="0B0C0E"/>
                <w:sz w:val="17"/>
              </w:rPr>
              <w:t>Den aktive genstand skiller sig ud fra mørke flader</w:t>
            </w:r>
          </w:p>
        </w:tc>
      </w:tr>
      <w:tr>
        <w:tc>
          <w:tcPr>
            <w:tcW w:type="dxa" w:w="2665"/>
            <w:vAlign w:val="center"/>
            <w:tcMar>
              <w:top w:w="130" w:type="dxa"/>
              <w:start w:w="150" w:type="dxa"/>
              <w:bottom w:w="130" w:type="dxa"/>
              <w:end w:w="150" w:type="dxa"/>
            </w:tcMar>
            <w:shd w:fill="EEF1F3"/>
          </w:tcPr>
          <w:p>
            <w:pPr>
              <w:spacing w:after="0"/>
              <w:jc w:val="left"/>
            </w:pPr>
            <w:r/>
            <w:r>
              <w:rPr>
                <w:rFonts w:ascii="Arial" w:hAnsi="Arial"/>
                <w:b w:val="0"/>
                <w:color w:val="0B0C0E"/>
                <w:sz w:val="17"/>
              </w:rPr>
              <w:t>Karakteristik</w:t>
            </w:r>
          </w:p>
        </w:tc>
        <w:tc>
          <w:tcPr>
            <w:tcW w:type="dxa" w:w="6576"/>
            <w:vAlign w:val="center"/>
            <w:tcMar>
              <w:top w:w="130" w:type="dxa"/>
              <w:start w:w="150" w:type="dxa"/>
              <w:bottom w:w="130" w:type="dxa"/>
              <w:end w:w="150" w:type="dxa"/>
            </w:tcMar>
            <w:shd w:fill="EEF1F3"/>
          </w:tcPr>
          <w:p>
            <w:pPr>
              <w:spacing w:after="0"/>
              <w:jc w:val="left"/>
            </w:pPr>
            <w:r/>
            <w:r>
              <w:rPr>
                <w:rFonts w:ascii="Arial" w:hAnsi="Arial"/>
                <w:b w:val="0"/>
                <w:color w:val="0B0C0E"/>
                <w:sz w:val="17"/>
              </w:rPr>
              <w:t>Gadgeten viser Bond som forberedt problemløser</w:t>
            </w:r>
          </w:p>
        </w:tc>
      </w:tr>
    </w:tbl>
    <w:p>
      <w:pPr>
        <w:spacing w:after="0"/>
      </w:pPr>
    </w:p>
    <w:p>
      <w:pPr>
        <w:pStyle w:val="Kicker"/>
        <w:pageBreakBefore/>
      </w:pPr>
      <w:r>
        <w:t>05 · MESTERVÆRK ELLER MUSEUM?</w:t>
      </w:r>
    </w:p>
    <w:p>
      <w:pPr>
        <w:pStyle w:val="Heading1"/>
      </w:pPr>
      <w:r>
        <w:t>Mesterværk eller museum?</w:t>
      </w:r>
    </w:p>
    <w:p>
      <w:pPr>
        <w:pStyle w:val="Lead"/>
      </w:pPr>
      <w:r>
        <w:t>Spillets styrker og svagheder kommer fra den samme alder.</w:t>
      </w:r>
    </w:p>
    <w:p>
      <w:pPr>
        <w:pStyle w:val="Heading2"/>
      </w:pPr>
      <w:r>
        <w:t>Argumentet for mesterværket</w:t>
      </w:r>
    </w:p>
    <w:p>
      <w:pPr>
        <w:spacing w:after="180" w:line="300" w:lineRule="auto"/>
      </w:pPr>
      <w:r>
        <w:rPr>
          <w:rFonts w:ascii="Georgia" w:hAnsi="Georgia"/>
          <w:b w:val="0"/>
          <w:color w:val="0B0C0E"/>
          <w:sz w:val="22"/>
        </w:rPr>
        <w:t>GoldenEye 007 forstår, at Bond-fantasien handler om mere end præcise headshots. Spilleren modtager en briefing, bevæger sig ind i et fjendtligt rum og skal selv skabe en plan. På højere sværhedsgrader kommer flere mål til, så udfordringen ikke kun består i stærkere fjender. Det ændrer måden, man undersøger banen på.</w:t>
      </w:r>
    </w:p>
    <w:p>
      <w:pPr>
        <w:spacing w:after="180" w:line="300" w:lineRule="auto"/>
      </w:pPr>
      <w:r>
        <w:rPr>
          <w:rFonts w:ascii="Georgia" w:hAnsi="Georgia"/>
          <w:b w:val="0"/>
          <w:color w:val="0B0C0E"/>
          <w:sz w:val="22"/>
        </w:rPr>
        <w:t>Missionerne giver derfor spilleren ansvar. Skyder man en vigtig computer i stykker, kan opgaven fejle. Udløser man en alarm, ændrer tempoet sig. Finder man en skjult rute eller bruger en gadget korrekt, opleves det som agentarbejde. Den form for sammenhæng mellem handling og betydning er stadig et mål for moderne spildesign.</w:t>
      </w:r>
    </w:p>
    <w:p>
      <w:pPr>
        <w:pStyle w:val="Heading2"/>
      </w:pPr>
      <w:r>
        <w:t>Argumentet for museet</w:t>
      </w:r>
    </w:p>
    <w:p>
      <w:pPr>
        <w:spacing w:after="180" w:line="300" w:lineRule="auto"/>
      </w:pPr>
      <w:r>
        <w:rPr>
          <w:rFonts w:ascii="Georgia" w:hAnsi="Georgia"/>
          <w:b w:val="0"/>
          <w:color w:val="0B0C0E"/>
          <w:sz w:val="22"/>
        </w:rPr>
        <w:t>Alderen er ikke kun charmerende. Fjender kan løbe mærkeligt, døre og mål kan være uklare, og den oprindelige styring kræver tilvænning. Nogle missioner straffer spilleren for fejl, som spillet ikke forklarer godt nok. Det kan føles som at læse en gammel manual, mens nogen skyder på dig.</w:t>
      </w:r>
    </w:p>
    <w:p>
      <w:pPr>
        <w:spacing w:after="180" w:line="300" w:lineRule="auto"/>
      </w:pPr>
      <w:r>
        <w:rPr>
          <w:rFonts w:ascii="Georgia" w:hAnsi="Georgia"/>
          <w:b w:val="0"/>
          <w:color w:val="0B0C0E"/>
          <w:sz w:val="22"/>
        </w:rPr>
        <w:t>Multiplayerdelen er stadig sjov, fordi fire mennesker reagerer på det samme rum. Men skærmkiggeri, ubalancerede våben og små udsnit af billedet viser også en tid, før onlinekonti, matchmaking og personlige skærme. Det sociale kaos er en styrke, men det er ikke det samme som moderne konkurrencebalance.</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4819"/>
        <w:gridCol w:w="4819"/>
      </w:tblGrid>
      <w:tr>
        <w:trPr>
          <w:tblHeader w:val="true"/>
        </w:trPr>
        <w:tc>
          <w:tcPr>
            <w:tcW w:type="dxa" w:w="4620"/>
            <w:vAlign w:val="center"/>
            <w:tcMar>
              <w:top w:w="130" w:type="dxa"/>
              <w:start w:w="150" w:type="dxa"/>
              <w:bottom w:w="130" w:type="dxa"/>
              <w:end w:w="150" w:type="dxa"/>
            </w:tcMar>
            <w:shd w:fill="17191D"/>
          </w:tcPr>
          <w:p>
            <w:pPr>
              <w:spacing w:after="0"/>
              <w:jc w:val="left"/>
            </w:pPr>
            <w:r/>
            <w:r>
              <w:rPr>
                <w:rFonts w:ascii="Arial" w:hAnsi="Arial"/>
                <w:b/>
                <w:color w:val="FFFFFF"/>
                <w:sz w:val="16"/>
              </w:rPr>
              <w:t>Holder i 2026</w:t>
            </w:r>
          </w:p>
        </w:tc>
        <w:tc>
          <w:tcPr>
            <w:tcW w:type="dxa" w:w="4620"/>
            <w:vAlign w:val="center"/>
            <w:tcMar>
              <w:top w:w="130" w:type="dxa"/>
              <w:start w:w="150" w:type="dxa"/>
              <w:bottom w:w="130" w:type="dxa"/>
              <w:end w:w="150" w:type="dxa"/>
            </w:tcMar>
            <w:shd w:fill="17191D"/>
          </w:tcPr>
          <w:p>
            <w:pPr>
              <w:spacing w:after="0"/>
              <w:jc w:val="left"/>
            </w:pPr>
            <w:r/>
            <w:r>
              <w:rPr>
                <w:rFonts w:ascii="Arial" w:hAnsi="Arial"/>
                <w:b/>
                <w:color w:val="FFFFFF"/>
                <w:sz w:val="16"/>
              </w:rPr>
              <w:t>Føles gammelt i 2026</w:t>
            </w:r>
          </w:p>
        </w:tc>
      </w:tr>
      <w:tr>
        <w:tc>
          <w:tcPr>
            <w:tcW w:type="dxa" w:w="4620"/>
            <w:vAlign w:val="center"/>
            <w:tcMar>
              <w:top w:w="130" w:type="dxa"/>
              <w:start w:w="150" w:type="dxa"/>
              <w:bottom w:w="130" w:type="dxa"/>
              <w:end w:w="150" w:type="dxa"/>
            </w:tcMar>
          </w:tcPr>
          <w:p>
            <w:pPr>
              <w:spacing w:after="0"/>
              <w:jc w:val="left"/>
            </w:pPr>
            <w:r/>
            <w:r>
              <w:rPr>
                <w:rFonts w:ascii="Arial" w:hAnsi="Arial"/>
                <w:b w:val="0"/>
                <w:color w:val="0B0C0E"/>
                <w:sz w:val="17"/>
              </w:rPr>
              <w:t>Målbaserede missioner</w:t>
            </w:r>
          </w:p>
        </w:tc>
        <w:tc>
          <w:tcPr>
            <w:tcW w:type="dxa" w:w="4620"/>
            <w:vAlign w:val="center"/>
            <w:tcMar>
              <w:top w:w="130" w:type="dxa"/>
              <w:start w:w="150" w:type="dxa"/>
              <w:bottom w:w="130" w:type="dxa"/>
              <w:end w:w="150" w:type="dxa"/>
            </w:tcMar>
          </w:tcPr>
          <w:p>
            <w:pPr>
              <w:spacing w:after="0"/>
              <w:jc w:val="left"/>
            </w:pPr>
            <w:r/>
            <w:r>
              <w:rPr>
                <w:rFonts w:ascii="Arial" w:hAnsi="Arial"/>
                <w:b w:val="0"/>
                <w:color w:val="0B0C0E"/>
                <w:sz w:val="17"/>
              </w:rPr>
              <w:t>Oprindelig styring og sigte</w:t>
            </w:r>
          </w:p>
        </w:tc>
      </w:tr>
      <w:tr>
        <w:tc>
          <w:tcPr>
            <w:tcW w:type="dxa" w:w="4620"/>
            <w:vAlign w:val="center"/>
            <w:tcMar>
              <w:top w:w="130" w:type="dxa"/>
              <w:start w:w="150" w:type="dxa"/>
              <w:bottom w:w="130" w:type="dxa"/>
              <w:end w:w="150" w:type="dxa"/>
            </w:tcMar>
            <w:shd w:fill="EEF1F3"/>
          </w:tcPr>
          <w:p>
            <w:pPr>
              <w:spacing w:after="0"/>
              <w:jc w:val="left"/>
            </w:pPr>
            <w:r/>
            <w:r>
              <w:rPr>
                <w:rFonts w:ascii="Arial" w:hAnsi="Arial"/>
                <w:b w:val="0"/>
                <w:color w:val="0B0C0E"/>
                <w:sz w:val="17"/>
              </w:rPr>
              <w:t>Rum, der kan aflæses og udforskes</w:t>
            </w:r>
          </w:p>
        </w:tc>
        <w:tc>
          <w:tcPr>
            <w:tcW w:type="dxa" w:w="4620"/>
            <w:vAlign w:val="center"/>
            <w:tcMar>
              <w:top w:w="130" w:type="dxa"/>
              <w:start w:w="150" w:type="dxa"/>
              <w:bottom w:w="130" w:type="dxa"/>
              <w:end w:w="150" w:type="dxa"/>
            </w:tcMar>
            <w:shd w:fill="EEF1F3"/>
          </w:tcPr>
          <w:p>
            <w:pPr>
              <w:spacing w:after="0"/>
              <w:jc w:val="left"/>
            </w:pPr>
            <w:r/>
            <w:r>
              <w:rPr>
                <w:rFonts w:ascii="Arial" w:hAnsi="Arial"/>
                <w:b w:val="0"/>
                <w:color w:val="0B0C0E"/>
                <w:sz w:val="17"/>
              </w:rPr>
              <w:t>Ujævn kunstig intelligens</w:t>
            </w:r>
          </w:p>
        </w:tc>
      </w:tr>
      <w:tr>
        <w:tc>
          <w:tcPr>
            <w:tcW w:type="dxa" w:w="4620"/>
            <w:vAlign w:val="center"/>
            <w:tcMar>
              <w:top w:w="130" w:type="dxa"/>
              <w:start w:w="150" w:type="dxa"/>
              <w:bottom w:w="130" w:type="dxa"/>
              <w:end w:w="150" w:type="dxa"/>
            </w:tcMar>
          </w:tcPr>
          <w:p>
            <w:pPr>
              <w:spacing w:after="0"/>
              <w:jc w:val="left"/>
            </w:pPr>
            <w:r/>
            <w:r>
              <w:rPr>
                <w:rFonts w:ascii="Arial" w:hAnsi="Arial"/>
                <w:b w:val="0"/>
                <w:color w:val="0B0C0E"/>
                <w:sz w:val="17"/>
              </w:rPr>
              <w:t>Gadgets med konkret funktion</w:t>
            </w:r>
          </w:p>
        </w:tc>
        <w:tc>
          <w:tcPr>
            <w:tcW w:type="dxa" w:w="4620"/>
            <w:vAlign w:val="center"/>
            <w:tcMar>
              <w:top w:w="130" w:type="dxa"/>
              <w:start w:w="150" w:type="dxa"/>
              <w:bottom w:w="130" w:type="dxa"/>
              <w:end w:w="150" w:type="dxa"/>
            </w:tcMar>
          </w:tcPr>
          <w:p>
            <w:pPr>
              <w:spacing w:after="0"/>
              <w:jc w:val="left"/>
            </w:pPr>
            <w:r/>
            <w:r>
              <w:rPr>
                <w:rFonts w:ascii="Arial" w:hAnsi="Arial"/>
                <w:b w:val="0"/>
                <w:color w:val="0B0C0E"/>
                <w:sz w:val="17"/>
              </w:rPr>
              <w:t>Begrænset forklaring af mål</w:t>
            </w:r>
          </w:p>
        </w:tc>
      </w:tr>
      <w:tr>
        <w:tc>
          <w:tcPr>
            <w:tcW w:type="dxa" w:w="4620"/>
            <w:vAlign w:val="center"/>
            <w:tcMar>
              <w:top w:w="130" w:type="dxa"/>
              <w:start w:w="150" w:type="dxa"/>
              <w:bottom w:w="130" w:type="dxa"/>
              <w:end w:w="150" w:type="dxa"/>
            </w:tcMar>
            <w:shd w:fill="EEF1F3"/>
          </w:tcPr>
          <w:p>
            <w:pPr>
              <w:spacing w:after="0"/>
              <w:jc w:val="left"/>
            </w:pPr>
            <w:r/>
            <w:r>
              <w:rPr>
                <w:rFonts w:ascii="Arial" w:hAnsi="Arial"/>
                <w:b w:val="0"/>
                <w:color w:val="0B0C0E"/>
                <w:sz w:val="17"/>
              </w:rPr>
              <w:t>Lokal multiplayer som social begivenhed</w:t>
            </w:r>
          </w:p>
        </w:tc>
        <w:tc>
          <w:tcPr>
            <w:tcW w:type="dxa" w:w="4620"/>
            <w:vAlign w:val="center"/>
            <w:tcMar>
              <w:top w:w="130" w:type="dxa"/>
              <w:start w:w="150" w:type="dxa"/>
              <w:bottom w:w="130" w:type="dxa"/>
              <w:end w:w="150" w:type="dxa"/>
            </w:tcMar>
            <w:shd w:fill="EEF1F3"/>
          </w:tcPr>
          <w:p>
            <w:pPr>
              <w:spacing w:after="0"/>
              <w:jc w:val="left"/>
            </w:pPr>
            <w:r/>
            <w:r>
              <w:rPr>
                <w:rFonts w:ascii="Arial" w:hAnsi="Arial"/>
                <w:b w:val="0"/>
                <w:color w:val="0B0C0E"/>
                <w:sz w:val="17"/>
              </w:rPr>
              <w:t>Skærmkiggeri og balanceproblemer</w:t>
            </w:r>
          </w:p>
        </w:tc>
      </w:tr>
      <w:tr>
        <w:tc>
          <w:tcPr>
            <w:tcW w:type="dxa" w:w="4620"/>
            <w:vAlign w:val="center"/>
            <w:tcMar>
              <w:top w:w="130" w:type="dxa"/>
              <w:start w:w="150" w:type="dxa"/>
              <w:bottom w:w="130" w:type="dxa"/>
              <w:end w:w="150" w:type="dxa"/>
            </w:tcMar>
          </w:tcPr>
          <w:p>
            <w:pPr>
              <w:spacing w:after="0"/>
              <w:jc w:val="left"/>
            </w:pPr>
            <w:r/>
            <w:r>
              <w:rPr>
                <w:rFonts w:ascii="Arial" w:hAnsi="Arial"/>
                <w:b w:val="0"/>
                <w:color w:val="0B0C0E"/>
                <w:sz w:val="17"/>
              </w:rPr>
              <w:t>Bond-identitet gennem spillerhandling</w:t>
            </w:r>
          </w:p>
        </w:tc>
        <w:tc>
          <w:tcPr>
            <w:tcW w:type="dxa" w:w="4620"/>
            <w:vAlign w:val="center"/>
            <w:tcMar>
              <w:top w:w="130" w:type="dxa"/>
              <w:start w:w="150" w:type="dxa"/>
              <w:bottom w:w="130" w:type="dxa"/>
              <w:end w:w="150" w:type="dxa"/>
            </w:tcMar>
          </w:tcPr>
          <w:p>
            <w:pPr>
              <w:spacing w:after="0"/>
              <w:jc w:val="left"/>
            </w:pPr>
            <w:r/>
            <w:r>
              <w:rPr>
                <w:rFonts w:ascii="Arial" w:hAnsi="Arial"/>
                <w:b w:val="0"/>
                <w:color w:val="0B0C0E"/>
                <w:sz w:val="17"/>
              </w:rPr>
              <w:t>Stive animationer og få ansigtsudtryk</w:t>
            </w:r>
          </w:p>
        </w:tc>
      </w:tr>
    </w:tbl>
    <w:p>
      <w:pPr>
        <w:spacing w:after="0"/>
      </w:pPr>
    </w:p>
    <w:p>
      <w:pPr>
        <w:pStyle w:val="Kicker"/>
        <w:pageBreakBefore/>
      </w:pPr>
      <w:r>
        <w:t>06 · DOM, DEBAT OG KILDER</w:t>
      </w:r>
    </w:p>
    <w:p>
      <w:pPr>
        <w:pStyle w:val="Heading1"/>
      </w:pPr>
      <w:r>
        <w:t>Dom, debat og kilder</w:t>
      </w:r>
    </w:p>
    <w:p>
      <w:pPr>
        <w:pStyle w:val="Lead"/>
      </w:pPr>
      <w:r>
        <w:t>GoldenEye 007 er et levende museum: gammelt nok til at kræve tålmodighed og stærkt nok til at belønne den.</w:t>
      </w:r>
    </w:p>
    <w:tbl>
      <w:tblPr>
        <w:tblW w:type="auto" w:w="0"/>
        <w:tblLayout w:type="fixed"/>
        <w:tblLook w:firstColumn="1" w:firstRow="1" w:lastColumn="0" w:lastRow="0" w:noHBand="0" w:noVBand="1" w:val="04A0"/>
        <w:tblBorders>
          <w:top w:val="single" w:sz="12" w:space="0" w:color="8F1D2C"/>
          <w:left w:val="single" w:sz="12" w:space="0" w:color="8F1D2C"/>
          <w:bottom w:val="single" w:sz="12" w:space="0" w:color="8F1D2C"/>
          <w:right w:val="single" w:sz="12" w:space="0" w:color="8F1D2C"/>
          <w:insideH w:val="single" w:sz="12" w:space="0" w:color="8F1D2C"/>
          <w:insideV w:val="single" w:sz="12" w:space="0" w:color="8F1D2C"/>
        </w:tblBorders>
      </w:tblPr>
      <w:tblGrid>
        <w:gridCol w:w="2835"/>
        <w:gridCol w:w="6406"/>
      </w:tblGrid>
      <w:tr>
        <w:tc>
          <w:tcPr>
            <w:tcW w:type="dxa" w:w="4819"/>
            <w:shd w:fill="8F1D2C"/>
            <w:tcMar>
              <w:top w:w="130" w:type="dxa"/>
              <w:start w:w="150" w:type="dxa"/>
              <w:bottom w:w="130" w:type="dxa"/>
              <w:end w:w="150" w:type="dxa"/>
            </w:tcMar>
            <w:vAlign w:val="center"/>
          </w:tcPr>
          <w:p>
            <w:pPr>
              <w:spacing w:after="0"/>
              <w:jc w:val="center"/>
            </w:pPr>
            <w:r/>
            <w:r>
              <w:rPr>
                <w:rFonts w:ascii="Arial" w:hAnsi="Arial"/>
                <w:b/>
                <w:color w:val="FFFFFF"/>
                <w:sz w:val="64"/>
              </w:rPr>
              <w:t>8/10</w:t>
            </w:r>
          </w:p>
        </w:tc>
        <w:tc>
          <w:tcPr>
            <w:tcW w:type="dxa" w:w="4819"/>
            <w:shd w:fill="EEF1F3"/>
            <w:tcMar>
              <w:top w:w="350" w:type="dxa"/>
              <w:start w:w="350" w:type="dxa"/>
              <w:bottom w:w="350" w:type="dxa"/>
              <w:end w:w="350" w:type="dxa"/>
            </w:tcMar>
          </w:tcPr>
          <w:p>
            <w:pPr>
              <w:spacing w:after="120"/>
            </w:pPr>
            <w:r>
              <w:rPr>
                <w:rFonts w:ascii="Georgia" w:hAnsi="Georgia"/>
                <w:b/>
                <w:color w:val="0B0C0E"/>
                <w:sz w:val="36"/>
              </w:rPr>
              <w:t>Et levende museum</w:t>
            </w:r>
          </w:p>
          <w:p>
            <w:pPr>
              <w:spacing w:after="0"/>
            </w:pPr>
            <w:r>
              <w:rPr>
                <w:rFonts w:ascii="Georgia" w:hAnsi="Georgia"/>
                <w:b w:val="0"/>
                <w:color w:val="0B0C0E"/>
                <w:sz w:val="22"/>
              </w:rPr>
              <w:t>GoldenEye er ikke tidløst, fordi alt stadig fungerer. Det er tidløst, fordi de bedste idéer stadig er synlige under den kantede overflade. Nye spillere skal acceptere friktion, men belønningen er at opleve et spil, hvor Bond bliver skabt gennem spillerens beslutninger.</w:t>
            </w:r>
          </w:p>
        </w:tc>
      </w:tr>
    </w:tbl>
    <w:p/>
    <w:tbl>
      <w:tblPr>
        <w:tblW w:type="auto" w:w="0"/>
        <w:jc w:val="center"/>
        <w:tblLook w:firstColumn="1" w:firstRow="1" w:lastColumn="0" w:lastRow="0" w:noHBand="0" w:noVBand="1" w:val="04A0"/>
        <w:tblBorders>
          <w:top w:val="single" w:sz="8" w:space="0" w:color="F3EFE5"/>
          <w:left w:val="single" w:sz="8" w:space="0" w:color="F3EFE5"/>
          <w:bottom w:val="single" w:sz="8" w:space="0" w:color="F3EFE5"/>
          <w:right w:val="single" w:sz="8" w:space="0" w:color="F3EFE5"/>
          <w:insideH w:val="single" w:sz="8" w:space="0" w:color="F3EFE5"/>
          <w:insideV w:val="single" w:sz="8" w:space="0" w:color="F3EFE5"/>
        </w:tblBorders>
      </w:tblPr>
      <w:tblGrid>
        <w:gridCol w:w="9638"/>
      </w:tblGrid>
      <w:tr>
        <w:tc>
          <w:tcPr>
            <w:tcW w:type="dxa" w:w="9638"/>
            <w:shd w:fill="F3EFE5"/>
            <w:tcMar>
              <w:top w:w="220" w:type="dxa"/>
              <w:start w:w="240" w:type="dxa"/>
              <w:bottom w:w="220" w:type="dxa"/>
              <w:end w:w="240" w:type="dxa"/>
            </w:tcMar>
          </w:tcPr>
          <w:p>
            <w:pPr>
              <w:spacing w:after="100"/>
            </w:pPr>
            <w:r>
              <w:rPr>
                <w:rFonts w:ascii="Arial" w:hAnsi="Arial"/>
                <w:b/>
                <w:color w:val="8F1D2C"/>
                <w:sz w:val="16"/>
              </w:rPr>
              <w:t>SPØRGSMÅLET TIL LÆSEREN</w:t>
            </w:r>
          </w:p>
          <w:p>
            <w:pPr>
              <w:spacing w:after="0"/>
            </w:pPr>
            <w:r>
              <w:rPr>
                <w:rFonts w:ascii="Georgia" w:hAnsi="Georgia"/>
                <w:b w:val="0"/>
                <w:color w:val="0B0C0E"/>
                <w:sz w:val="24"/>
              </w:rPr>
              <w:t>Hvor meget gammel styring vil du acceptere for at opleve et vigtigt stykke spilhistorie — og hvornår bliver respekt for en klassiker bare til nostalgi?</w:t>
            </w:r>
          </w:p>
        </w:tc>
      </w:tr>
    </w:tbl>
    <w:p>
      <w:pPr>
        <w:spacing w:after="0"/>
      </w:pPr>
    </w:p>
    <w:p>
      <w:pPr>
        <w:pStyle w:val="Heading2"/>
      </w:pPr>
      <w:r>
        <w:t>Kort video</w:t>
      </w:r>
    </w:p>
    <w:p>
      <w:r>
        <w:t xml:space="preserve">Se Xbox Game Pass-traileren og sammenhold spillets bevægelse med de tre analyserede billeder: </w:t>
      </w:r>
      <w:hyperlink r:id="rId14">
        <w:r>
          <w:rPr>
            <w:color w:val="8F1D2C"/>
            <w:u w:val="single"/>
          </w:rPr>
          <w:t>Åbn videoen</w:t>
        </w:r>
      </w:hyperlink>
      <w:r>
        <w:t>. Den interaktive version af artiklen på 007 Vidensportal har videoen indlejret direkte i siden.</w:t>
      </w:r>
    </w:p>
    <w:p>
      <w:pPr>
        <w:pStyle w:val="Heading2"/>
      </w:pPr>
      <w:r>
        <w:t>Kilder</w:t>
      </w:r>
    </w:p>
    <w:p>
      <w:pPr>
        <w:pStyle w:val="ListBullet"/>
      </w:pPr>
      <w:hyperlink r:id="rId15">
        <w:r>
          <w:rPr>
            <w:color w:val="8F1D2C"/>
            <w:u w:val="single"/>
          </w:rPr>
          <w:t>Xbox: GoldenEye 007</w:t>
        </w:r>
      </w:hyperlink>
      <w:r>
        <w:t xml:space="preserve"> — Spilfakta og screenshots.</w:t>
      </w:r>
    </w:p>
    <w:p>
      <w:pPr>
        <w:pStyle w:val="ListBullet"/>
      </w:pPr>
      <w:hyperlink r:id="rId16">
        <w:r>
          <w:rPr>
            <w:color w:val="8F1D2C"/>
            <w:u w:val="single"/>
          </w:rPr>
          <w:t>Xbox Wire: Bond is Back</w:t>
        </w:r>
      </w:hyperlink>
      <w:r>
        <w:t xml:space="preserve"> — Missioner, styring og genudgivelse.</w:t>
      </w:r>
    </w:p>
    <w:p>
      <w:pPr>
        <w:pStyle w:val="ListBullet"/>
      </w:pPr>
      <w:hyperlink r:id="rId17">
        <w:r>
          <w:rPr>
            <w:color w:val="8F1D2C"/>
            <w:u w:val="single"/>
          </w:rPr>
          <w:t>Nintendo: GoldenEye 007 returns</w:t>
        </w:r>
      </w:hyperlink>
      <w:r>
        <w:t xml:space="preserve"> — Originaludgivelse og Switch-version.</w:t>
      </w:r>
    </w:p>
    <w:p>
      <w:pPr>
        <w:pStyle w:val="ListBullet"/>
      </w:pPr>
      <w:hyperlink r:id="rId18">
        <w:r>
          <w:rPr>
            <w:color w:val="8F1D2C"/>
            <w:u w:val="single"/>
          </w:rPr>
          <w:t>James Bond 007: GoldenEye 007 launches</w:t>
        </w:r>
      </w:hyperlink>
      <w:r>
        <w:t xml:space="preserve"> — Officiel Bond-omtale af genudgivelsen.</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5F56"/>
        <w:sz w:val="14"/>
      </w:rPr>
      <w:t xml:space="preserve">SIMON OG LUCAS   ·   DANSK 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5F56"/>
        <w:sz w:val="15"/>
      </w:rPr>
      <w:t>007 VIDENSPORTAL   /   DANSK DEBATBLOG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rial" w:hAnsi="Arial"/>
      <w:color w:val="0B0C0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Georgia" w:hAnsi="Georgia"/>
      <w:b w:val="0"/>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Georgia" w:hAnsi="Georgia"/>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60" w:line="240" w:lineRule="auto"/>
      <w:contextualSpacing/>
    </w:pPr>
    <w:rPr>
      <w:rFonts w:asciiTheme="majorHAnsi" w:eastAsiaTheme="majorEastAsia" w:hAnsiTheme="majorHAnsi" w:cstheme="majorBidi" w:ascii="Georgia" w:hAnsi="Georgia"/>
      <w:b w:val="0"/>
      <w:color w:val="000000"/>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80" w:line="300" w:lineRule="auto"/>
    </w:pPr>
    <w:rPr>
      <w:rFonts w:ascii="Georgia" w:hAnsi="Georgia"/>
      <w:color w:val="665F56"/>
      <w:sz w:val="28"/>
    </w:rPr>
  </w:style>
  <w:style w:type="paragraph" w:customStyle="1" w:styleId="Kicker">
    <w:name w:val="Kicker"/>
    <w:pPr>
      <w:spacing w:after="120"/>
    </w:pPr>
    <w:rPr>
      <w:rFonts w:ascii="Arial" w:hAnsi="Arial"/>
      <w:b/>
      <w:color w:val="8B7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youtube.com/watch?v=IquAb4uViWc" TargetMode="External"/><Relationship Id="rId15" Type="http://schemas.openxmlformats.org/officeDocument/2006/relationships/hyperlink" Target="https://www.xbox.com/en-US/games/goldeneye-007" TargetMode="External"/><Relationship Id="rId16" Type="http://schemas.openxmlformats.org/officeDocument/2006/relationships/hyperlink" Target="https://news.xbox.com/en-us/2023/01/26/goldeneye-007-xbox-game-pass-out-now/" TargetMode="External"/><Relationship Id="rId17" Type="http://schemas.openxmlformats.org/officeDocument/2006/relationships/hyperlink" Target="https://www.nintendo.com/en-ca/whatsnew/goldeneye-007-returns-for-nintendo-switch-online-expansion-pack-members/" TargetMode="External"/><Relationship Id="rId18" Type="http://schemas.openxmlformats.org/officeDocument/2006/relationships/hyperlink" Target="https://www.007.com/goldeneye-007-launches-on-nintendo-switch-online-and-xbox-game-p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GoldenEye 007 i 2026: mesterværk eller museum?</dc:title>
  <dc:subject>007 Vidensportal skoleprojekt</dc:subject>
  <dc:creator>Simon og Lucas</dc:creator>
  <cp:keywords>007, James Bond, Kommunikation og IT, designproces</cp:keywords>
  <dc:description>generated by python-docx</dc:description>
  <cp:lastModifiedBy/>
  <cp:revision>1</cp:revision>
  <dcterms:created xsi:type="dcterms:W3CDTF">2013-12-23T23:15:00Z</dcterms:created>
  <dcterms:modified xsi:type="dcterms:W3CDTF">2013-12-23T23:15:00Z</dcterms:modified>
  <cp:category/>
</cp:coreProperties>
</file>