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BCE8F" w14:textId="77777777" w:rsidR="00255FD2" w:rsidRDefault="00255FD2" w:rsidP="00255FD2">
      <w:pPr>
        <w:jc w:val="center"/>
        <w:rPr>
          <w:rFonts w:ascii="Calibri" w:hAnsi="Calibri" w:cs="Calibri"/>
          <w:b/>
          <w:bCs/>
          <w:sz w:val="40"/>
          <w:szCs w:val="40"/>
          <w:lang w:val="en-US"/>
        </w:rPr>
      </w:pPr>
      <w:r w:rsidRPr="00255FD2">
        <w:rPr>
          <w:rFonts w:ascii="Calibri" w:hAnsi="Calibri" w:cs="Calibri"/>
          <w:b/>
          <w:bCs/>
          <w:sz w:val="40"/>
          <w:szCs w:val="40"/>
          <w:lang w:val="en-US"/>
        </w:rPr>
        <w:t xml:space="preserve">Appendix </w:t>
      </w:r>
      <w:r>
        <w:rPr>
          <w:rFonts w:ascii="Calibri" w:hAnsi="Calibri" w:cs="Calibri"/>
          <w:b/>
          <w:bCs/>
          <w:sz w:val="40"/>
          <w:szCs w:val="40"/>
          <w:lang w:val="en-US"/>
        </w:rPr>
        <w:t>for the manuscript:</w:t>
      </w:r>
    </w:p>
    <w:p w14:paraId="77C802EB" w14:textId="3FAF46CC" w:rsidR="00255FD2" w:rsidRPr="00255FD2" w:rsidRDefault="00255FD2" w:rsidP="00255FD2">
      <w:pPr>
        <w:jc w:val="center"/>
        <w:rPr>
          <w:rFonts w:ascii="Calibri" w:hAnsi="Calibri" w:cs="Calibri"/>
          <w:b/>
          <w:bCs/>
          <w:sz w:val="40"/>
          <w:szCs w:val="40"/>
          <w:lang w:val="en-US"/>
        </w:rPr>
      </w:pPr>
      <w:r w:rsidRPr="00255FD2">
        <w:rPr>
          <w:rFonts w:ascii="Calibri" w:hAnsi="Calibri" w:cs="Calibri"/>
          <w:b/>
          <w:bCs/>
          <w:sz w:val="40"/>
          <w:szCs w:val="40"/>
          <w:lang w:val="en-US"/>
        </w:rPr>
        <w:t>Selection and the direction of</w:t>
      </w:r>
      <w:r w:rsidRPr="00255FD2">
        <w:rPr>
          <w:rFonts w:ascii="Calibri" w:hAnsi="Calibri" w:cs="Calibri"/>
          <w:b/>
          <w:bCs/>
          <w:sz w:val="40"/>
          <w:szCs w:val="40"/>
          <w:lang w:val="en-US"/>
        </w:rPr>
        <w:t xml:space="preserve"> </w:t>
      </w:r>
      <w:r w:rsidRPr="00255FD2">
        <w:rPr>
          <w:rFonts w:ascii="Calibri" w:hAnsi="Calibri" w:cs="Calibri"/>
          <w:b/>
          <w:bCs/>
          <w:sz w:val="40"/>
          <w:szCs w:val="40"/>
          <w:lang w:val="en-US"/>
        </w:rPr>
        <w:t>phenotypic evolution</w:t>
      </w:r>
    </w:p>
    <w:p w14:paraId="538A55EC" w14:textId="77777777" w:rsidR="00255FD2" w:rsidRPr="00255FD2" w:rsidRDefault="00255FD2">
      <w:pPr>
        <w:rPr>
          <w:rFonts w:ascii="Calibri" w:hAnsi="Calibri" w:cs="Calibri"/>
          <w:sz w:val="16"/>
          <w:szCs w:val="16"/>
          <w:lang w:val="en-US"/>
        </w:rPr>
      </w:pPr>
    </w:p>
    <w:p w14:paraId="47DDE92F" w14:textId="28BC7503" w:rsidR="00255FD2" w:rsidRPr="00255FD2" w:rsidRDefault="00255FD2">
      <w:pPr>
        <w:rPr>
          <w:rFonts w:ascii="Calibri" w:hAnsi="Calibri" w:cs="Calibri"/>
          <w:sz w:val="20"/>
          <w:szCs w:val="20"/>
        </w:rPr>
      </w:pPr>
      <w:r w:rsidRPr="00255FD2">
        <w:rPr>
          <w:rFonts w:ascii="Calibri" w:hAnsi="Calibri" w:cs="Calibri"/>
          <w:sz w:val="20"/>
          <w:szCs w:val="20"/>
        </w:rPr>
        <w:t>François Mallard</w:t>
      </w:r>
      <w:r w:rsidRPr="00255FD2">
        <w:rPr>
          <w:rFonts w:ascii="Calibri" w:hAnsi="Calibri" w:cs="Calibri"/>
          <w:sz w:val="20"/>
          <w:szCs w:val="20"/>
          <w:vertAlign w:val="superscript"/>
        </w:rPr>
        <w:t>1*</w:t>
      </w:r>
      <w:r w:rsidRPr="00255FD2">
        <w:rPr>
          <w:rFonts w:ascii="Calibri" w:hAnsi="Calibri" w:cs="Calibri"/>
          <w:sz w:val="20"/>
          <w:szCs w:val="20"/>
        </w:rPr>
        <w:t>, Bruno Afonso</w:t>
      </w:r>
      <w:r w:rsidRPr="00255FD2">
        <w:rPr>
          <w:rFonts w:ascii="Calibri" w:hAnsi="Calibri" w:cs="Calibri"/>
          <w:sz w:val="20"/>
          <w:szCs w:val="20"/>
          <w:vertAlign w:val="superscript"/>
        </w:rPr>
        <w:t>1</w:t>
      </w:r>
      <w:r w:rsidRPr="00255FD2">
        <w:rPr>
          <w:rFonts w:ascii="Calibri" w:hAnsi="Calibri" w:cs="Calibri"/>
          <w:sz w:val="20"/>
          <w:szCs w:val="20"/>
        </w:rPr>
        <w:t>, Henrique Teotónio</w:t>
      </w:r>
      <w:r w:rsidRPr="00255FD2">
        <w:rPr>
          <w:rFonts w:ascii="Calibri" w:hAnsi="Calibri" w:cs="Calibri"/>
          <w:sz w:val="20"/>
          <w:szCs w:val="20"/>
          <w:vertAlign w:val="superscript"/>
        </w:rPr>
        <w:t>1*</w:t>
      </w:r>
    </w:p>
    <w:p w14:paraId="34EDD6BF" w14:textId="33FC1723" w:rsidR="00F66470" w:rsidRPr="00255FD2" w:rsidRDefault="00255FD2">
      <w:pPr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 w:rsidRPr="00255FD2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Tensor analysis to detect genetic evolution</w:t>
      </w:r>
    </w:p>
    <w:p w14:paraId="08FE443B" w14:textId="0B70249C" w:rsidR="00255FD2" w:rsidRPr="00255FD2" w:rsidRDefault="00255FD2" w:rsidP="00255FD2">
      <w:pPr>
        <w:tabs>
          <w:tab w:val="left" w:pos="1717"/>
        </w:tabs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</w:p>
    <w:p w14:paraId="2AB4C708" w14:textId="4E41D90D" w:rsidR="00255FD2" w:rsidRPr="00255FD2" w:rsidRDefault="00255FD2">
      <w:pPr>
        <w:rPr>
          <w:rFonts w:ascii="Calibri" w:hAnsi="Calibri" w:cs="Calibri"/>
          <w:b/>
          <w:bCs/>
          <w:sz w:val="20"/>
          <w:szCs w:val="20"/>
          <w:lang w:val="en-US"/>
        </w:rPr>
      </w:pPr>
      <w:r w:rsidRPr="00255FD2">
        <w:rPr>
          <w:rFonts w:ascii="Calibri" w:hAnsi="Calibri" w:cs="Calibri"/>
          <w:b/>
          <w:bCs/>
          <w:sz w:val="20"/>
          <w:szCs w:val="20"/>
          <w:lang w:val="en-US"/>
        </w:rPr>
        <w:t>Methods</w:t>
      </w:r>
    </w:p>
    <w:p w14:paraId="089F1083" w14:textId="77777777" w:rsidR="00255FD2" w:rsidRDefault="00255FD2" w:rsidP="00255FD2">
      <w:pPr>
        <w:jc w:val="both"/>
        <w:rPr>
          <w:rFonts w:ascii="Calibri" w:hAnsi="Calibri" w:cs="Calibri"/>
          <w:sz w:val="20"/>
          <w:szCs w:val="20"/>
          <w:lang w:val="en-US"/>
        </w:rPr>
      </w:pPr>
      <w:r w:rsidRPr="00255FD2">
        <w:rPr>
          <w:rFonts w:ascii="Calibri" w:hAnsi="Calibri" w:cs="Calibri"/>
          <w:sz w:val="20"/>
          <w:szCs w:val="20"/>
          <w:lang w:val="en-US"/>
        </w:rPr>
        <w:t xml:space="preserve">To describe the genetic divergence during experimental evolution we performed eigentensor analysis of the four A6140, </w:t>
      </w:r>
      <w:proofErr w:type="gramStart"/>
      <w:r w:rsidRPr="00255FD2">
        <w:rPr>
          <w:rFonts w:ascii="Calibri" w:hAnsi="Calibri" w:cs="Calibri"/>
          <w:sz w:val="20"/>
          <w:szCs w:val="20"/>
          <w:lang w:val="en-US"/>
        </w:rPr>
        <w:t>GA[</w:t>
      </w:r>
      <w:proofErr w:type="gramEnd"/>
      <w:r w:rsidRPr="00255FD2">
        <w:rPr>
          <w:rFonts w:ascii="Calibri" w:hAnsi="Calibri" w:cs="Calibri"/>
          <w:sz w:val="20"/>
          <w:szCs w:val="20"/>
          <w:lang w:val="en-US"/>
        </w:rPr>
        <w:t xml:space="preserve">1,2,4]50 </w:t>
      </w:r>
      <w:r w:rsidRPr="00255FD2">
        <w:rPr>
          <w:rFonts w:ascii="Calibri" w:hAnsi="Calibri" w:cs="Calibri"/>
          <w:b/>
          <w:bCs/>
          <w:sz w:val="20"/>
          <w:szCs w:val="20"/>
          <w:lang w:val="en-US"/>
        </w:rPr>
        <w:t>G</w:t>
      </w:r>
      <w:r w:rsidRPr="00255FD2">
        <w:rPr>
          <w:rFonts w:ascii="Calibri" w:hAnsi="Calibri" w:cs="Calibri"/>
          <w:sz w:val="20"/>
          <w:szCs w:val="20"/>
          <w:lang w:val="en-US"/>
        </w:rPr>
        <w:t>-matrices in high salt (Aguirre et al., 2014; Hine et al.,</w:t>
      </w:r>
      <w:r w:rsidRPr="00255FD2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255FD2">
        <w:rPr>
          <w:rFonts w:ascii="Calibri" w:hAnsi="Calibri" w:cs="Calibri"/>
          <w:sz w:val="20"/>
          <w:szCs w:val="20"/>
          <w:lang w:val="en-US"/>
        </w:rPr>
        <w:t>2009).</w:t>
      </w:r>
      <w:r w:rsidRPr="00255FD2">
        <w:rPr>
          <w:rFonts w:ascii="Calibri" w:hAnsi="Calibri" w:cs="Calibri"/>
          <w:sz w:val="20"/>
          <w:szCs w:val="20"/>
          <w:lang w:val="en-US"/>
        </w:rPr>
        <w:t xml:space="preserve"> To produce a null distribution, we generated a randomized distribution of </w:t>
      </w:r>
      <w:r w:rsidRPr="00255FD2">
        <w:rPr>
          <w:rFonts w:ascii="Calibri" w:hAnsi="Calibri" w:cs="Calibri"/>
          <w:b/>
          <w:bCs/>
          <w:sz w:val="20"/>
          <w:szCs w:val="20"/>
          <w:lang w:val="en-US"/>
        </w:rPr>
        <w:t>G</w:t>
      </w:r>
      <w:r w:rsidRPr="00255FD2">
        <w:rPr>
          <w:rFonts w:ascii="Calibri" w:hAnsi="Calibri" w:cs="Calibri"/>
          <w:sz w:val="20"/>
          <w:szCs w:val="20"/>
          <w:lang w:val="en-US"/>
        </w:rPr>
        <w:t xml:space="preserve">-matrices while accounting for sampling variance. In brief, we created data sets of our experimental sample size based on the observed </w:t>
      </w:r>
      <w:r w:rsidRPr="00255FD2">
        <w:rPr>
          <w:rFonts w:ascii="Calibri" w:hAnsi="Calibri" w:cs="Calibri"/>
          <w:b/>
          <w:bCs/>
          <w:sz w:val="20"/>
          <w:szCs w:val="20"/>
          <w:lang w:val="en-US"/>
        </w:rPr>
        <w:t>G</w:t>
      </w:r>
      <w:r w:rsidRPr="00255FD2">
        <w:rPr>
          <w:rFonts w:ascii="Calibri" w:hAnsi="Calibri" w:cs="Calibri"/>
          <w:sz w:val="20"/>
          <w:szCs w:val="20"/>
          <w:lang w:val="en-US"/>
        </w:rPr>
        <w:t xml:space="preserve">-matrices as done in </w:t>
      </w:r>
      <w:proofErr w:type="spellStart"/>
      <w:r w:rsidRPr="00255FD2">
        <w:rPr>
          <w:rFonts w:ascii="Calibri" w:hAnsi="Calibri" w:cs="Calibri"/>
          <w:sz w:val="20"/>
          <w:szCs w:val="20"/>
          <w:lang w:val="en-US"/>
        </w:rPr>
        <w:t>Aguirre</w:t>
      </w:r>
      <w:proofErr w:type="spellEnd"/>
      <w:r w:rsidRPr="00255FD2">
        <w:rPr>
          <w:rFonts w:ascii="Calibri" w:hAnsi="Calibri" w:cs="Calibri"/>
          <w:sz w:val="20"/>
          <w:szCs w:val="20"/>
          <w:lang w:val="en-US"/>
        </w:rPr>
        <w:t xml:space="preserve"> et al. </w:t>
      </w:r>
      <w:r w:rsidRPr="00255FD2">
        <w:rPr>
          <w:rFonts w:ascii="Calibri" w:hAnsi="Calibri" w:cs="Calibri"/>
          <w:sz w:val="20"/>
          <w:szCs w:val="20"/>
          <w:lang w:val="en-US"/>
        </w:rPr>
        <w:t>(</w:t>
      </w:r>
      <w:r w:rsidRPr="00255FD2">
        <w:rPr>
          <w:rFonts w:ascii="Calibri" w:hAnsi="Calibri" w:cs="Calibri"/>
          <w:sz w:val="20"/>
          <w:szCs w:val="20"/>
          <w:lang w:val="en-US"/>
        </w:rPr>
        <w:t>2014</w:t>
      </w:r>
      <w:r w:rsidRPr="00255FD2">
        <w:rPr>
          <w:rFonts w:ascii="Calibri" w:hAnsi="Calibri" w:cs="Calibri"/>
          <w:sz w:val="20"/>
          <w:szCs w:val="20"/>
          <w:lang w:val="en-US"/>
        </w:rPr>
        <w:t xml:space="preserve">) and then randomized the line ID across populations. </w:t>
      </w:r>
      <w:r w:rsidRPr="00255FD2">
        <w:rPr>
          <w:rFonts w:ascii="Calibri" w:hAnsi="Calibri" w:cs="Calibri"/>
          <w:sz w:val="20"/>
          <w:szCs w:val="20"/>
          <w:lang w:val="en-US"/>
        </w:rPr>
        <w:t xml:space="preserve">Following Morrissey and Bonnet (2019), </w:t>
      </w:r>
      <w:r w:rsidRPr="00255FD2">
        <w:rPr>
          <w:rFonts w:ascii="Calibri" w:hAnsi="Calibri" w:cs="Calibri"/>
          <w:sz w:val="20"/>
          <w:szCs w:val="20"/>
          <w:lang w:val="en-US"/>
        </w:rPr>
        <w:t xml:space="preserve">we added random environmental variance to our synthetic phenotypic data set before estimating each population </w:t>
      </w:r>
      <w:r w:rsidRPr="00255FD2">
        <w:rPr>
          <w:rFonts w:ascii="Calibri" w:hAnsi="Calibri" w:cs="Calibri"/>
          <w:b/>
          <w:bCs/>
          <w:sz w:val="20"/>
          <w:szCs w:val="20"/>
          <w:lang w:val="en-US"/>
        </w:rPr>
        <w:t>G</w:t>
      </w:r>
      <w:r w:rsidRPr="00255FD2">
        <w:rPr>
          <w:rFonts w:ascii="Calibri" w:hAnsi="Calibri" w:cs="Calibri"/>
          <w:sz w:val="20"/>
          <w:szCs w:val="20"/>
          <w:lang w:val="en-US"/>
        </w:rPr>
        <w:t xml:space="preserve">-matrix using </w:t>
      </w:r>
      <w:proofErr w:type="spellStart"/>
      <w:r w:rsidRPr="00255FD2">
        <w:rPr>
          <w:rFonts w:ascii="Calibri" w:hAnsi="Calibri" w:cs="Calibri"/>
          <w:i/>
          <w:iCs/>
          <w:sz w:val="20"/>
          <w:szCs w:val="20"/>
          <w:lang w:val="en-US"/>
        </w:rPr>
        <w:t>MCMCglm</w:t>
      </w:r>
      <w:r w:rsidRPr="00255FD2">
        <w:rPr>
          <w:rFonts w:ascii="Calibri" w:hAnsi="Calibri" w:cs="Calibri"/>
          <w:i/>
          <w:iCs/>
          <w:sz w:val="20"/>
          <w:szCs w:val="20"/>
          <w:lang w:val="en-US"/>
        </w:rPr>
        <w:t>m</w:t>
      </w:r>
      <w:proofErr w:type="spellEnd"/>
      <w:r w:rsidRPr="00255FD2">
        <w:rPr>
          <w:rFonts w:ascii="Calibri" w:hAnsi="Calibri" w:cs="Calibri"/>
          <w:sz w:val="20"/>
          <w:szCs w:val="20"/>
          <w:lang w:val="en-US"/>
        </w:rPr>
        <w:t>. We then repeated this procedure 1000 times and extracted the posterior mode of each 1000 set of 4 matrices that are then used to create a null distribution of genetic divergence (see Figure A left panel).</w:t>
      </w:r>
    </w:p>
    <w:p w14:paraId="7E232C0D" w14:textId="1FE3FE4A" w:rsidR="00255FD2" w:rsidRPr="00255FD2" w:rsidRDefault="00255FD2" w:rsidP="00255FD2">
      <w:pPr>
        <w:jc w:val="both"/>
        <w:rPr>
          <w:rFonts w:ascii="Calibri" w:hAnsi="Calibri" w:cs="Calibri"/>
          <w:sz w:val="20"/>
          <w:szCs w:val="20"/>
          <w:lang w:val="en-US"/>
        </w:rPr>
      </w:pPr>
      <w:r w:rsidRPr="00255FD2">
        <w:rPr>
          <w:rFonts w:ascii="Calibri" w:hAnsi="Calibri" w:cs="Calibri"/>
          <w:sz w:val="20"/>
          <w:szCs w:val="20"/>
          <w:lang w:val="en-US"/>
        </w:rPr>
        <w:t xml:space="preserve">Eigentensors are 4-dimensional objects describing differences among the four </w:t>
      </w:r>
      <w:r w:rsidRPr="00255FD2">
        <w:rPr>
          <w:rFonts w:ascii="Calibri" w:hAnsi="Calibri" w:cs="Calibri"/>
          <w:b/>
          <w:bCs/>
          <w:sz w:val="20"/>
          <w:szCs w:val="20"/>
          <w:lang w:val="en-US"/>
        </w:rPr>
        <w:t>G</w:t>
      </w:r>
      <w:r w:rsidRPr="00255FD2">
        <w:rPr>
          <w:rFonts w:ascii="Calibri" w:hAnsi="Calibri" w:cs="Calibri"/>
          <w:sz w:val="20"/>
          <w:szCs w:val="20"/>
          <w:lang w:val="en-US"/>
        </w:rPr>
        <w:t xml:space="preserve">-matrices. Each eigentensor was decomposed into eigenvectors to describe the dimensions maximizing genetic differentiation between four </w:t>
      </w:r>
      <w:r w:rsidRPr="00255FD2">
        <w:rPr>
          <w:rFonts w:ascii="Calibri" w:hAnsi="Calibri" w:cs="Calibri"/>
          <w:b/>
          <w:bCs/>
          <w:sz w:val="20"/>
          <w:szCs w:val="20"/>
          <w:lang w:val="en-US"/>
        </w:rPr>
        <w:t>G</w:t>
      </w:r>
      <w:r w:rsidRPr="00255FD2">
        <w:rPr>
          <w:rFonts w:ascii="Calibri" w:hAnsi="Calibri" w:cs="Calibri"/>
          <w:sz w:val="20"/>
          <w:szCs w:val="20"/>
          <w:lang w:val="en-US"/>
        </w:rPr>
        <w:t xml:space="preserve">-matrices. The first eigenvector of the first eigentensor </w:t>
      </w:r>
      <w:r w:rsidRPr="00255FD2">
        <w:rPr>
          <w:rFonts w:ascii="Calibri" w:hAnsi="Calibri" w:cs="Calibri"/>
          <w:sz w:val="20"/>
          <w:szCs w:val="20"/>
          <w:lang w:val="en-US"/>
        </w:rPr>
        <w:t>is</w:t>
      </w:r>
      <w:r w:rsidRPr="00255FD2">
        <w:rPr>
          <w:rFonts w:ascii="Calibri" w:hAnsi="Calibri" w:cs="Calibri"/>
          <w:sz w:val="20"/>
          <w:szCs w:val="20"/>
          <w:lang w:val="en-US"/>
        </w:rPr>
        <w:t xml:space="preserve"> here called the </w:t>
      </w:r>
      <w:r w:rsidRPr="00255FD2">
        <w:rPr>
          <w:rFonts w:ascii="Calibri" w:hAnsi="Calibri" w:cs="Calibri"/>
          <w:sz w:val="20"/>
          <w:szCs w:val="20"/>
          <w:lang w:val="en-US"/>
        </w:rPr>
        <w:t>vector</w:t>
      </w:r>
      <w:r w:rsidRPr="00255FD2">
        <w:rPr>
          <w:rFonts w:ascii="Calibri" w:hAnsi="Calibri" w:cs="Calibri"/>
          <w:sz w:val="20"/>
          <w:szCs w:val="20"/>
          <w:lang w:val="en-US"/>
        </w:rPr>
        <w:t xml:space="preserve"> of genetic divergence (e</w:t>
      </w:r>
      <w:r w:rsidRPr="00255FD2">
        <w:rPr>
          <w:rFonts w:ascii="Calibri" w:hAnsi="Calibri" w:cs="Calibri"/>
          <w:sz w:val="20"/>
          <w:szCs w:val="20"/>
          <w:vertAlign w:val="subscript"/>
          <w:lang w:val="en-US"/>
        </w:rPr>
        <w:t>11</w:t>
      </w:r>
      <w:r w:rsidRPr="00255FD2">
        <w:rPr>
          <w:rFonts w:ascii="Calibri" w:hAnsi="Calibri" w:cs="Calibri"/>
          <w:sz w:val="20"/>
          <w:szCs w:val="20"/>
          <w:lang w:val="en-US"/>
        </w:rPr>
        <w:t>) because the A6140 ancestral population drives most differentiation.</w:t>
      </w:r>
    </w:p>
    <w:p w14:paraId="7BD1F2B2" w14:textId="77777777" w:rsidR="00255FD2" w:rsidRPr="00255FD2" w:rsidRDefault="00255FD2">
      <w:pPr>
        <w:rPr>
          <w:rFonts w:ascii="Calibri" w:hAnsi="Calibri" w:cs="Calibri"/>
          <w:sz w:val="20"/>
          <w:szCs w:val="20"/>
          <w:lang w:val="en-US"/>
        </w:rPr>
      </w:pPr>
    </w:p>
    <w:p w14:paraId="781FB24E" w14:textId="38C55F62" w:rsidR="00255FD2" w:rsidRPr="00255FD2" w:rsidRDefault="00255FD2">
      <w:pPr>
        <w:rPr>
          <w:rFonts w:ascii="Calibri" w:hAnsi="Calibri" w:cs="Calibri"/>
          <w:b/>
          <w:bCs/>
          <w:sz w:val="20"/>
          <w:szCs w:val="20"/>
          <w:lang w:val="en-US"/>
        </w:rPr>
      </w:pPr>
      <w:r w:rsidRPr="00255FD2">
        <w:rPr>
          <w:rFonts w:ascii="Calibri" w:hAnsi="Calibri" w:cs="Calibri"/>
          <w:b/>
          <w:bCs/>
          <w:sz w:val="20"/>
          <w:szCs w:val="20"/>
          <w:lang w:val="en-US"/>
        </w:rPr>
        <w:t>Results</w:t>
      </w:r>
    </w:p>
    <w:p w14:paraId="6D5F49C9" w14:textId="2D860EC0" w:rsidR="00255FD2" w:rsidRPr="00255FD2" w:rsidRDefault="00255FD2" w:rsidP="00255FD2">
      <w:pPr>
        <w:rPr>
          <w:rFonts w:ascii="Calibri" w:hAnsi="Calibri" w:cs="Calibri"/>
          <w:sz w:val="20"/>
          <w:szCs w:val="20"/>
          <w:lang w:val="en-US"/>
        </w:rPr>
      </w:pPr>
      <w:r w:rsidRPr="00255FD2">
        <w:rPr>
          <w:rFonts w:ascii="Calibri" w:hAnsi="Calibri" w:cs="Calibri"/>
          <w:sz w:val="20"/>
          <w:szCs w:val="20"/>
          <w:lang w:val="en-US"/>
        </w:rPr>
        <w:t xml:space="preserve">Eigentensor analysis confirms that genetic divergence mainly occurs </w:t>
      </w:r>
      <w:r w:rsidRPr="00255FD2">
        <w:rPr>
          <w:rFonts w:ascii="Calibri" w:hAnsi="Calibri" w:cs="Calibri"/>
          <w:sz w:val="20"/>
          <w:szCs w:val="20"/>
          <w:lang w:val="en-US"/>
        </w:rPr>
        <w:t>through</w:t>
      </w:r>
      <w:r w:rsidRPr="00255FD2">
        <w:rPr>
          <w:rFonts w:ascii="Calibri" w:hAnsi="Calibri" w:cs="Calibri"/>
          <w:sz w:val="20"/>
          <w:szCs w:val="20"/>
          <w:lang w:val="en-US"/>
        </w:rPr>
        <w:t xml:space="preserve"> the loss of genetic variance along one canonical </w:t>
      </w:r>
      <w:r w:rsidRPr="00255FD2">
        <w:rPr>
          <w:rFonts w:ascii="Calibri" w:hAnsi="Calibri" w:cs="Calibri"/>
          <w:sz w:val="20"/>
          <w:szCs w:val="20"/>
          <w:lang w:val="en-US"/>
        </w:rPr>
        <w:t>dimension, a result similar to the random skewers analysis</w:t>
      </w:r>
      <w:r w:rsidRPr="00255FD2">
        <w:rPr>
          <w:rFonts w:ascii="Calibri" w:hAnsi="Calibri" w:cs="Calibri"/>
          <w:sz w:val="20"/>
          <w:szCs w:val="20"/>
          <w:lang w:val="en-US"/>
        </w:rPr>
        <w:t>.</w:t>
      </w:r>
      <w:r w:rsidRPr="00255FD2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255FD2">
        <w:rPr>
          <w:rFonts w:ascii="Calibri" w:hAnsi="Calibri" w:cs="Calibri"/>
          <w:sz w:val="20"/>
          <w:szCs w:val="20"/>
          <w:lang w:val="en-US"/>
        </w:rPr>
        <w:t xml:space="preserve">Eigentensor analysis shows that the first eigentensor explains most differences between the four </w:t>
      </w:r>
      <w:r w:rsidRPr="00255FD2">
        <w:rPr>
          <w:rFonts w:ascii="Calibri" w:hAnsi="Calibri" w:cs="Calibri"/>
          <w:b/>
          <w:bCs/>
          <w:sz w:val="20"/>
          <w:szCs w:val="20"/>
          <w:lang w:val="en-US"/>
        </w:rPr>
        <w:t>G</w:t>
      </w:r>
      <w:r w:rsidRPr="00255FD2">
        <w:rPr>
          <w:rFonts w:ascii="Calibri" w:hAnsi="Calibri" w:cs="Calibri"/>
          <w:sz w:val="20"/>
          <w:szCs w:val="20"/>
          <w:lang w:val="en-US"/>
        </w:rPr>
        <w:t>-</w:t>
      </w:r>
      <w:r w:rsidRPr="00255FD2">
        <w:rPr>
          <w:rFonts w:ascii="Calibri" w:hAnsi="Calibri" w:cs="Calibri"/>
          <w:sz w:val="20"/>
          <w:szCs w:val="20"/>
          <w:lang w:val="en-US"/>
        </w:rPr>
        <w:t xml:space="preserve">matrices in high salt (98%, Figure </w:t>
      </w:r>
      <w:r w:rsidRPr="00255FD2">
        <w:rPr>
          <w:rFonts w:ascii="Calibri" w:hAnsi="Calibri" w:cs="Calibri"/>
          <w:sz w:val="20"/>
          <w:szCs w:val="20"/>
          <w:lang w:val="en-US"/>
        </w:rPr>
        <w:t>A, left panel</w:t>
      </w:r>
      <w:r w:rsidRPr="00255FD2">
        <w:rPr>
          <w:rFonts w:ascii="Calibri" w:hAnsi="Calibri" w:cs="Calibri"/>
          <w:sz w:val="20"/>
          <w:szCs w:val="20"/>
          <w:lang w:val="en-US"/>
        </w:rPr>
        <w:t>), and its coordinates indicate that it is the ancestral population that drives most differentiation (Figure</w:t>
      </w:r>
      <w:r w:rsidRPr="00255FD2">
        <w:rPr>
          <w:rFonts w:ascii="Calibri" w:hAnsi="Calibri" w:cs="Calibri"/>
          <w:sz w:val="20"/>
          <w:szCs w:val="20"/>
          <w:lang w:val="en-US"/>
        </w:rPr>
        <w:t xml:space="preserve"> A, middle panel</w:t>
      </w:r>
      <w:r w:rsidRPr="00255FD2">
        <w:rPr>
          <w:rFonts w:ascii="Calibri" w:hAnsi="Calibri" w:cs="Calibri"/>
          <w:sz w:val="20"/>
          <w:szCs w:val="20"/>
          <w:lang w:val="en-US"/>
        </w:rPr>
        <w:t xml:space="preserve">). </w:t>
      </w:r>
      <w:proofErr w:type="spellStart"/>
      <w:r w:rsidRPr="00255FD2">
        <w:rPr>
          <w:rFonts w:ascii="Calibri" w:hAnsi="Calibri" w:cs="Calibri"/>
          <w:sz w:val="20"/>
          <w:szCs w:val="20"/>
          <w:lang w:val="en-US"/>
        </w:rPr>
        <w:t>Eigendecomposition</w:t>
      </w:r>
      <w:proofErr w:type="spellEnd"/>
      <w:r w:rsidRPr="00255FD2">
        <w:rPr>
          <w:rFonts w:ascii="Calibri" w:hAnsi="Calibri" w:cs="Calibri"/>
          <w:sz w:val="20"/>
          <w:szCs w:val="20"/>
          <w:lang w:val="en-US"/>
        </w:rPr>
        <w:t xml:space="preserve"> of the first eigentensor then shows that genetic divergence during experimental evolution occurs along the first canonical dimension for all GA replicates (</w:t>
      </w:r>
      <w:r w:rsidRPr="00255FD2">
        <w:rPr>
          <w:rFonts w:ascii="Calibri" w:hAnsi="Calibri" w:cs="Calibri"/>
          <w:sz w:val="20"/>
          <w:szCs w:val="20"/>
          <w:lang w:val="en-US"/>
        </w:rPr>
        <w:t>90</w:t>
      </w:r>
      <w:r w:rsidRPr="00255FD2">
        <w:rPr>
          <w:rFonts w:ascii="Calibri" w:hAnsi="Calibri" w:cs="Calibri"/>
          <w:sz w:val="20"/>
          <w:szCs w:val="20"/>
          <w:lang w:val="en-US"/>
        </w:rPr>
        <w:t>% for e</w:t>
      </w:r>
      <w:r w:rsidRPr="00255FD2">
        <w:rPr>
          <w:rFonts w:ascii="Calibri" w:hAnsi="Calibri" w:cs="Calibri"/>
          <w:sz w:val="20"/>
          <w:szCs w:val="20"/>
          <w:vertAlign w:val="subscript"/>
          <w:lang w:val="en-US"/>
        </w:rPr>
        <w:t>11</w:t>
      </w:r>
      <w:r w:rsidRPr="00255FD2">
        <w:rPr>
          <w:rFonts w:ascii="Calibri" w:hAnsi="Calibri" w:cs="Calibri"/>
          <w:sz w:val="20"/>
          <w:szCs w:val="20"/>
          <w:lang w:val="en-US"/>
        </w:rPr>
        <w:t xml:space="preserve">; Figure </w:t>
      </w:r>
      <w:r w:rsidRPr="00255FD2">
        <w:rPr>
          <w:rFonts w:ascii="Calibri" w:hAnsi="Calibri" w:cs="Calibri"/>
          <w:sz w:val="20"/>
          <w:szCs w:val="20"/>
          <w:lang w:val="en-US"/>
        </w:rPr>
        <w:t>A</w:t>
      </w:r>
      <w:r w:rsidRPr="00255FD2">
        <w:rPr>
          <w:rFonts w:ascii="Calibri" w:hAnsi="Calibri" w:cs="Calibri"/>
          <w:sz w:val="20"/>
          <w:szCs w:val="20"/>
          <w:lang w:val="en-US"/>
        </w:rPr>
        <w:t xml:space="preserve"> -</w:t>
      </w:r>
      <w:r w:rsidRPr="00255FD2">
        <w:rPr>
          <w:rFonts w:ascii="Calibri" w:hAnsi="Calibri" w:cs="Calibri"/>
          <w:sz w:val="20"/>
          <w:szCs w:val="20"/>
          <w:lang w:val="en-US"/>
        </w:rPr>
        <w:t xml:space="preserve"> right panel</w:t>
      </w:r>
      <w:r w:rsidRPr="00255FD2">
        <w:rPr>
          <w:rFonts w:ascii="Calibri" w:hAnsi="Calibri" w:cs="Calibri"/>
          <w:sz w:val="20"/>
          <w:szCs w:val="20"/>
          <w:lang w:val="en-US"/>
        </w:rPr>
        <w:t>). Not surprisingly,</w:t>
      </w:r>
      <w:r w:rsidRPr="00255FD2">
        <w:rPr>
          <w:rFonts w:ascii="Calibri" w:hAnsi="Calibri" w:cs="Calibri"/>
          <w:sz w:val="20"/>
          <w:szCs w:val="20"/>
          <w:lang w:val="en-US"/>
        </w:rPr>
        <w:t xml:space="preserve"> e</w:t>
      </w:r>
      <w:r w:rsidRPr="00255FD2">
        <w:rPr>
          <w:rFonts w:ascii="Calibri" w:hAnsi="Calibri" w:cs="Calibri"/>
          <w:sz w:val="20"/>
          <w:szCs w:val="20"/>
          <w:vertAlign w:val="subscript"/>
          <w:lang w:val="en-US"/>
        </w:rPr>
        <w:t>11</w:t>
      </w:r>
      <w:r w:rsidRPr="00255FD2">
        <w:rPr>
          <w:rFonts w:ascii="Calibri" w:hAnsi="Calibri" w:cs="Calibri"/>
          <w:sz w:val="20"/>
          <w:szCs w:val="20"/>
          <w:lang w:val="en-US"/>
        </w:rPr>
        <w:t xml:space="preserve"> and </w:t>
      </w:r>
      <w:proofErr w:type="spellStart"/>
      <w:r w:rsidRPr="00255FD2">
        <w:rPr>
          <w:rFonts w:ascii="Calibri" w:hAnsi="Calibri" w:cs="Calibri"/>
          <w:sz w:val="20"/>
          <w:szCs w:val="20"/>
          <w:lang w:val="en-US"/>
        </w:rPr>
        <w:t>e</w:t>
      </w:r>
      <w:r w:rsidRPr="00255FD2">
        <w:rPr>
          <w:rFonts w:ascii="Calibri" w:hAnsi="Calibri" w:cs="Calibri"/>
          <w:sz w:val="20"/>
          <w:szCs w:val="20"/>
          <w:vertAlign w:val="subscript"/>
          <w:lang w:val="en-US"/>
        </w:rPr>
        <w:t>max</w:t>
      </w:r>
      <w:proofErr w:type="spellEnd"/>
      <w:r w:rsidRPr="00255FD2">
        <w:rPr>
          <w:rFonts w:ascii="Calibri" w:hAnsi="Calibri" w:cs="Calibri"/>
          <w:sz w:val="20"/>
          <w:szCs w:val="20"/>
          <w:lang w:val="en-US"/>
        </w:rPr>
        <w:t xml:space="preserve"> are highly colinear (e</w:t>
      </w:r>
      <w:r w:rsidRPr="00255FD2">
        <w:rPr>
          <w:rFonts w:ascii="Calibri" w:hAnsi="Calibri" w:cs="Calibri"/>
          <w:sz w:val="20"/>
          <w:szCs w:val="20"/>
          <w:vertAlign w:val="subscript"/>
          <w:lang w:val="en-US"/>
        </w:rPr>
        <w:t>11</w:t>
      </w:r>
      <w:r w:rsidRPr="00255FD2">
        <w:rPr>
          <w:rFonts w:ascii="Calibri" w:hAnsi="Calibri" w:cs="Calibri"/>
          <w:sz w:val="20"/>
          <w:szCs w:val="20"/>
          <w:lang w:val="en-US"/>
        </w:rPr>
        <w:t xml:space="preserve">: </w:t>
      </w:r>
      <w:r w:rsidRPr="00255FD2">
        <w:rPr>
          <w:rFonts w:ascii="Calibri" w:hAnsi="Calibri" w:cs="Calibri"/>
          <w:sz w:val="20"/>
          <w:szCs w:val="20"/>
          <w:lang w:val="en-US"/>
        </w:rPr>
        <w:t>-0.38</w:t>
      </w:r>
      <w:r w:rsidRPr="00255FD2">
        <w:rPr>
          <w:rFonts w:ascii="Calibri" w:hAnsi="Calibri" w:cs="Calibri"/>
          <w:sz w:val="20"/>
          <w:szCs w:val="20"/>
          <w:lang w:val="en-US"/>
        </w:rPr>
        <w:t>;</w:t>
      </w:r>
      <w:r w:rsidRPr="00255FD2">
        <w:rPr>
          <w:rFonts w:ascii="Calibri" w:hAnsi="Calibri" w:cs="Calibri"/>
          <w:sz w:val="20"/>
          <w:szCs w:val="20"/>
          <w:lang w:val="en-US"/>
        </w:rPr>
        <w:t xml:space="preserve"> -0.</w:t>
      </w:r>
      <w:proofErr w:type="gramStart"/>
      <w:r w:rsidRPr="00255FD2">
        <w:rPr>
          <w:rFonts w:ascii="Calibri" w:hAnsi="Calibri" w:cs="Calibri"/>
          <w:sz w:val="20"/>
          <w:szCs w:val="20"/>
          <w:lang w:val="en-US"/>
        </w:rPr>
        <w:t>4</w:t>
      </w:r>
      <w:r w:rsidRPr="00255FD2">
        <w:rPr>
          <w:rFonts w:ascii="Calibri" w:hAnsi="Calibri" w:cs="Calibri"/>
          <w:sz w:val="20"/>
          <w:szCs w:val="20"/>
          <w:lang w:val="en-US"/>
        </w:rPr>
        <w:t>8;</w:t>
      </w:r>
      <w:r w:rsidRPr="00255FD2">
        <w:rPr>
          <w:rFonts w:ascii="Calibri" w:hAnsi="Calibri" w:cs="Calibri"/>
          <w:sz w:val="20"/>
          <w:szCs w:val="20"/>
          <w:lang w:val="en-US"/>
        </w:rPr>
        <w:t xml:space="preserve">  0.29</w:t>
      </w:r>
      <w:proofErr w:type="gramEnd"/>
      <w:r w:rsidRPr="00255FD2">
        <w:rPr>
          <w:rFonts w:ascii="Calibri" w:hAnsi="Calibri" w:cs="Calibri"/>
          <w:sz w:val="20"/>
          <w:szCs w:val="20"/>
          <w:lang w:val="en-US"/>
        </w:rPr>
        <w:t>;</w:t>
      </w:r>
      <w:r w:rsidRPr="00255FD2">
        <w:rPr>
          <w:rFonts w:ascii="Calibri" w:hAnsi="Calibri" w:cs="Calibri"/>
          <w:sz w:val="20"/>
          <w:szCs w:val="20"/>
          <w:lang w:val="en-US"/>
        </w:rPr>
        <w:t xml:space="preserve">  0.</w:t>
      </w:r>
      <w:r w:rsidRPr="00255FD2">
        <w:rPr>
          <w:rFonts w:ascii="Calibri" w:hAnsi="Calibri" w:cs="Calibri"/>
          <w:sz w:val="20"/>
          <w:szCs w:val="20"/>
          <w:lang w:val="en-US"/>
        </w:rPr>
        <w:t>50;</w:t>
      </w:r>
      <w:r w:rsidRPr="00255FD2">
        <w:rPr>
          <w:rFonts w:ascii="Calibri" w:hAnsi="Calibri" w:cs="Calibri"/>
          <w:sz w:val="20"/>
          <w:szCs w:val="20"/>
          <w:lang w:val="en-US"/>
        </w:rPr>
        <w:t xml:space="preserve"> 0.14</w:t>
      </w:r>
      <w:r w:rsidRPr="00255FD2">
        <w:rPr>
          <w:rFonts w:ascii="Calibri" w:hAnsi="Calibri" w:cs="Calibri"/>
          <w:sz w:val="20"/>
          <w:szCs w:val="20"/>
          <w:lang w:val="en-US"/>
        </w:rPr>
        <w:t>;</w:t>
      </w:r>
      <w:r w:rsidRPr="00255FD2">
        <w:rPr>
          <w:rFonts w:ascii="Calibri" w:hAnsi="Calibri" w:cs="Calibri"/>
          <w:sz w:val="20"/>
          <w:szCs w:val="20"/>
          <w:lang w:val="en-US"/>
        </w:rPr>
        <w:t xml:space="preserve">  0.47</w:t>
      </w:r>
      <w:r w:rsidRPr="00255FD2">
        <w:rPr>
          <w:rFonts w:ascii="Calibri" w:hAnsi="Calibri" w:cs="Calibri"/>
          <w:sz w:val="20"/>
          <w:szCs w:val="20"/>
          <w:lang w:val="en-US"/>
        </w:rPr>
        <w:t>;</w:t>
      </w:r>
      <w:r w:rsidRPr="00255FD2">
        <w:rPr>
          <w:rFonts w:ascii="Calibri" w:hAnsi="Calibri" w:cs="Calibri"/>
          <w:sz w:val="20"/>
          <w:szCs w:val="20"/>
          <w:lang w:val="en-US"/>
        </w:rPr>
        <w:t xml:space="preserve"> -0.2</w:t>
      </w:r>
      <w:r w:rsidRPr="00255FD2">
        <w:rPr>
          <w:rFonts w:ascii="Calibri" w:hAnsi="Calibri" w:cs="Calibri"/>
          <w:sz w:val="20"/>
          <w:szCs w:val="20"/>
          <w:lang w:val="en-US"/>
        </w:rPr>
        <w:t>) with a small angle between them (8.4°, well below the random estimates shown in the main texts</w:t>
      </w:r>
      <w:r>
        <w:rPr>
          <w:rFonts w:ascii="Calibri" w:hAnsi="Calibri" w:cs="Calibri"/>
          <w:sz w:val="20"/>
          <w:szCs w:val="20"/>
          <w:lang w:val="en-US"/>
        </w:rPr>
        <w:t>, see Figure 3B for an example</w:t>
      </w:r>
      <w:r w:rsidRPr="00255FD2">
        <w:rPr>
          <w:rFonts w:ascii="Calibri" w:hAnsi="Calibri" w:cs="Calibri"/>
          <w:sz w:val="20"/>
          <w:szCs w:val="20"/>
          <w:lang w:val="en-US"/>
        </w:rPr>
        <w:t>)</w:t>
      </w:r>
      <w:r w:rsidRPr="00255FD2">
        <w:rPr>
          <w:rFonts w:ascii="Calibri" w:hAnsi="Calibri" w:cs="Calibri"/>
          <w:sz w:val="20"/>
          <w:szCs w:val="20"/>
          <w:lang w:val="en-US"/>
        </w:rPr>
        <w:t>.</w:t>
      </w:r>
    </w:p>
    <w:p w14:paraId="3627C406" w14:textId="6D27F02C" w:rsidR="00255FD2" w:rsidRDefault="00255FD2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27BD6EE4" wp14:editId="731CA6B9">
            <wp:extent cx="5756910" cy="26593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B275" w14:textId="069BE18B" w:rsidR="00255FD2" w:rsidRPr="00255FD2" w:rsidRDefault="00255FD2" w:rsidP="00255FD2">
      <w:pPr>
        <w:jc w:val="both"/>
        <w:rPr>
          <w:rFonts w:ascii="Calibri" w:hAnsi="Calibri" w:cs="Calibri"/>
          <w:sz w:val="20"/>
          <w:szCs w:val="20"/>
          <w:lang w:val="en-US"/>
        </w:rPr>
      </w:pPr>
      <w:r w:rsidRPr="00255FD2">
        <w:rPr>
          <w:rFonts w:ascii="Calibri" w:hAnsi="Calibri" w:cs="Calibri"/>
          <w:b/>
          <w:bCs/>
          <w:sz w:val="20"/>
          <w:szCs w:val="20"/>
          <w:lang w:val="en-US"/>
        </w:rPr>
        <w:t>Figure A</w:t>
      </w:r>
      <w:r w:rsidRPr="00255FD2">
        <w:rPr>
          <w:rFonts w:ascii="Calibri" w:hAnsi="Calibri" w:cs="Calibri"/>
          <w:sz w:val="20"/>
          <w:szCs w:val="20"/>
          <w:lang w:val="en-US"/>
        </w:rPr>
        <w:t xml:space="preserve">. </w:t>
      </w:r>
      <w:r w:rsidRPr="00255FD2">
        <w:rPr>
          <w:rFonts w:ascii="Calibri" w:hAnsi="Calibri" w:cs="Calibri"/>
          <w:sz w:val="20"/>
          <w:szCs w:val="20"/>
          <w:lang w:val="en-US"/>
        </w:rPr>
        <w:t>G-matrix evolution in high salt. A. Eigentensor analysis of all four ancestral and</w:t>
      </w:r>
      <w:r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255FD2">
        <w:rPr>
          <w:rFonts w:ascii="Calibri" w:hAnsi="Calibri" w:cs="Calibri"/>
          <w:sz w:val="20"/>
          <w:szCs w:val="20"/>
          <w:lang w:val="en-US"/>
        </w:rPr>
        <w:t xml:space="preserve">derived G-matrices. </w:t>
      </w:r>
      <w:r>
        <w:rPr>
          <w:rFonts w:ascii="Calibri" w:hAnsi="Calibri" w:cs="Calibri"/>
          <w:sz w:val="20"/>
          <w:szCs w:val="20"/>
          <w:lang w:val="en-US"/>
        </w:rPr>
        <w:t xml:space="preserve">Left: </w:t>
      </w:r>
      <w:r w:rsidRPr="00255FD2">
        <w:rPr>
          <w:rFonts w:ascii="Calibri" w:hAnsi="Calibri" w:cs="Calibri"/>
          <w:sz w:val="20"/>
          <w:szCs w:val="20"/>
          <w:lang w:val="en-US"/>
        </w:rPr>
        <w:t>Shown</w:t>
      </w:r>
      <w:r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255FD2">
        <w:rPr>
          <w:rFonts w:ascii="Calibri" w:hAnsi="Calibri" w:cs="Calibri"/>
          <w:sz w:val="20"/>
          <w:szCs w:val="20"/>
          <w:lang w:val="en-US"/>
        </w:rPr>
        <w:t>are the first three eigentensor values encompassing most of the differences between G-matrices,</w:t>
      </w:r>
      <w:r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255FD2">
        <w:rPr>
          <w:rFonts w:ascii="Calibri" w:hAnsi="Calibri" w:cs="Calibri"/>
          <w:sz w:val="20"/>
          <w:szCs w:val="20"/>
          <w:lang w:val="en-US"/>
        </w:rPr>
        <w:t>with only the first one E1 containing more genetic variation than expected with our sample sizes.</w:t>
      </w:r>
      <w:r>
        <w:rPr>
          <w:rFonts w:ascii="Calibri" w:hAnsi="Calibri" w:cs="Calibri"/>
          <w:sz w:val="20"/>
          <w:szCs w:val="20"/>
          <w:lang w:val="en-US"/>
        </w:rPr>
        <w:t xml:space="preserve"> Middle: </w:t>
      </w:r>
      <w:r w:rsidRPr="00255FD2">
        <w:rPr>
          <w:rFonts w:ascii="Calibri" w:hAnsi="Calibri" w:cs="Calibri"/>
          <w:sz w:val="20"/>
          <w:szCs w:val="20"/>
          <w:lang w:val="en-US"/>
        </w:rPr>
        <w:t>Coordinates of each population in the first eigentensor.</w:t>
      </w:r>
      <w:r>
        <w:rPr>
          <w:rFonts w:ascii="Calibri" w:hAnsi="Calibri" w:cs="Calibri"/>
          <w:sz w:val="20"/>
          <w:szCs w:val="20"/>
          <w:lang w:val="en-US"/>
        </w:rPr>
        <w:t xml:space="preserve"> Right: </w:t>
      </w:r>
      <w:r w:rsidRPr="00255FD2">
        <w:rPr>
          <w:rFonts w:ascii="Calibri" w:hAnsi="Calibri" w:cs="Calibri"/>
          <w:sz w:val="20"/>
          <w:szCs w:val="20"/>
          <w:lang w:val="en-US"/>
        </w:rPr>
        <w:t>For the first eigentensor E1, further</w:t>
      </w:r>
      <w:r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255FD2">
        <w:rPr>
          <w:rFonts w:ascii="Calibri" w:hAnsi="Calibri" w:cs="Calibri"/>
          <w:sz w:val="20"/>
          <w:szCs w:val="20"/>
          <w:lang w:val="en-US"/>
        </w:rPr>
        <w:t>decomposition shows that its first eigenvector (e</w:t>
      </w:r>
      <w:r w:rsidRPr="00255FD2">
        <w:rPr>
          <w:rFonts w:ascii="Calibri" w:hAnsi="Calibri" w:cs="Calibri"/>
          <w:sz w:val="20"/>
          <w:szCs w:val="20"/>
          <w:vertAlign w:val="subscript"/>
          <w:lang w:val="en-US"/>
        </w:rPr>
        <w:t>11</w:t>
      </w:r>
      <w:r w:rsidRPr="00255FD2">
        <w:rPr>
          <w:rFonts w:ascii="Calibri" w:hAnsi="Calibri" w:cs="Calibri"/>
          <w:sz w:val="20"/>
          <w:szCs w:val="20"/>
          <w:lang w:val="en-US"/>
        </w:rPr>
        <w:t xml:space="preserve">) explains </w:t>
      </w:r>
      <w:r>
        <w:rPr>
          <w:rFonts w:ascii="Calibri" w:hAnsi="Calibri" w:cs="Calibri"/>
          <w:sz w:val="20"/>
          <w:szCs w:val="20"/>
          <w:lang w:val="en-US"/>
        </w:rPr>
        <w:t>90</w:t>
      </w:r>
      <w:r w:rsidRPr="00255FD2">
        <w:rPr>
          <w:rFonts w:ascii="Calibri" w:hAnsi="Calibri" w:cs="Calibri"/>
          <w:sz w:val="20"/>
          <w:szCs w:val="20"/>
          <w:lang w:val="en-US"/>
        </w:rPr>
        <w:t>% of the</w:t>
      </w:r>
      <w:r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255FD2">
        <w:rPr>
          <w:rFonts w:ascii="Calibri" w:hAnsi="Calibri" w:cs="Calibri"/>
          <w:sz w:val="20"/>
          <w:szCs w:val="20"/>
          <w:lang w:val="en-US"/>
        </w:rPr>
        <w:t xml:space="preserve">genetic differences between all populations (eigenvalues in </w:t>
      </w:r>
      <w:r>
        <w:rPr>
          <w:rFonts w:ascii="Calibri" w:hAnsi="Calibri" w:cs="Calibri"/>
          <w:sz w:val="20"/>
          <w:szCs w:val="20"/>
          <w:lang w:val="en-US"/>
        </w:rPr>
        <w:t xml:space="preserve">the </w:t>
      </w:r>
      <w:r w:rsidRPr="00255FD2">
        <w:rPr>
          <w:rFonts w:ascii="Calibri" w:hAnsi="Calibri" w:cs="Calibri"/>
          <w:sz w:val="20"/>
          <w:szCs w:val="20"/>
          <w:lang w:val="en-US"/>
        </w:rPr>
        <w:t>y-axis). Colored bars</w:t>
      </w:r>
      <w:r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255FD2">
        <w:rPr>
          <w:rFonts w:ascii="Calibri" w:hAnsi="Calibri" w:cs="Calibri"/>
          <w:sz w:val="20"/>
          <w:szCs w:val="20"/>
          <w:lang w:val="en-US"/>
        </w:rPr>
        <w:t xml:space="preserve">show 83% and 95% credible intervals of the posterior distribution, dots the mean. </w:t>
      </w:r>
    </w:p>
    <w:sectPr w:rsidR="00255FD2" w:rsidRPr="00255FD2" w:rsidSect="000C3F5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D2"/>
    <w:rsid w:val="000C3F55"/>
    <w:rsid w:val="00255FD2"/>
    <w:rsid w:val="00F6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3CC741"/>
  <w15:chartTrackingRefBased/>
  <w15:docId w15:val="{B3A4959C-BEF9-2945-9AC6-BB1D8B14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469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2023-04-13T06:46:00Z</dcterms:created>
  <dcterms:modified xsi:type="dcterms:W3CDTF">2023-04-13T08:18:00Z</dcterms:modified>
</cp:coreProperties>
</file>