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0x00 挂起进程注入原理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挂起进程注入其实和挂起线程注入其实是一个道理，</w:t>
      </w:r>
      <w:r>
        <w:rPr>
          <w:rFonts w:hint="eastAsia"/>
          <w:color w:val="FF0000"/>
          <w:lang w:val="en-US" w:eastAsia="zh-CN"/>
        </w:rPr>
        <w:t>区别在于挂起进程在程序开始时候，挂起线程在程序运行中</w:t>
      </w:r>
      <w:r>
        <w:rPr>
          <w:rFonts w:hint="eastAsia"/>
          <w:lang w:val="en-US" w:eastAsia="zh-CN"/>
        </w:rPr>
        <w:t>，本质上都是挂起主线程，执行写入的ShellCode，这里就不做赘述了。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构造ShellCode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CreateProcess以挂起的方式启动目标进程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3.OpenThread打开线程，SuspendThread挂起线程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4.GetThreadContext获取目标主线程线程上下文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5.SetThreadContext修改目标主线程上下文到我们写入的ShellCode处执行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6.ResumeThread恢复线程让ShellCode执行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7.VirtualFreeEx扫尾释放空间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这种方式和挂起线程的方式代码编写思路几乎一样，并且更加简单方便，因为CreateProcess可以拿到目标进程的进程句柄和主线程句柄，省去了自己去拿。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0x01 挂起进程注入具体编程实现步骤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由于这种方式和挂起线程注入方式的注入手段大同小异，所以只看区别部分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区别就在于使用的CreateProcess的API一口气实现了挂起主线程，拿到进程句柄，主线程句柄的操作，其他并无区别，详细请看附件代码</w:t>
      </w:r>
    </w:p>
    <w:p>
      <w:r>
        <w:drawing>
          <wp:inline distT="0" distB="0" distL="114300" distR="114300">
            <wp:extent cx="5267960" cy="19316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实验效果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2405" cy="25615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在程序启动前，弹出我们自定义的MessgeBox，注入成功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中國龍海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豪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文鼎中行書">
    <w:altName w:val="Microsoft JhengHei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鼎简行书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繁行书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经典繁行书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苏新诗鼠标行书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書法家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超世纪粗行书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金梅毛筆匾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草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中行书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中行书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行书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行书体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ＤＦ明朝体W5">
    <w:altName w:val="MS UI Gothic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Mincho-SU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nWangShinSuMedium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Bk BT">
    <w:altName w:val="Segoe Print"/>
    <w:panose1 w:val="02070603070706020303"/>
    <w:charset w:val="00"/>
    <w:family w:val="auto"/>
    <w:pitch w:val="default"/>
    <w:sig w:usb0="00000000" w:usb1="00000000" w:usb2="00000000" w:usb3="00000000" w:csb0="00000011" w:csb1="00000000"/>
  </w:font>
  <w:font w:name="Bodoni Bd BT">
    <w:altName w:val="Segoe Print"/>
    <w:panose1 w:val="02070803080706020303"/>
    <w:charset w:val="00"/>
    <w:family w:val="auto"/>
    <w:pitch w:val="default"/>
    <w:sig w:usb0="00000000" w:usb1="00000000" w:usb2="00000000" w:usb3="00000000" w:csb0="0000001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Myungjo Std M">
    <w:altName w:val="MS UI Gothic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Kozuka Mincho Pro M">
    <w:altName w:val="MS UI Gothic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Bauhaus 93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B2BE6"/>
    <w:multiLevelType w:val="singleLevel"/>
    <w:tmpl w:val="590B2B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25433"/>
    <w:rsid w:val="36D2249A"/>
    <w:rsid w:val="3ED33B2E"/>
    <w:rsid w:val="78C407C1"/>
    <w:rsid w:val="7EFD7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exact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2017-05-11T12:16:48Z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