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6213E"/>
          <w:sz w:val="36"/>
          <w:szCs w:val="36"/>
        </w:rPr>
        <w:t xml:space="preserve">MNE Token</w:t>
      </w:r>
    </w:p>
    <w:p>
      <w:pPr>
        <w:spacing w:before="40" w:after="40"/>
        <w:jc w:val="center"/>
      </w:pPr>
      <w:r>
        <w:rPr>
          <w:rFonts w:ascii="Arial" w:cs="Arial" w:eastAsia="Arial" w:hAnsi="Arial"/>
          <w:b/>
          <w:bCs/>
          <w:color w:val="16213E"/>
          <w:sz w:val="28"/>
          <w:szCs w:val="28"/>
        </w:rPr>
        <w:t xml:space="preserve">Governance &amp; Token Framework Overview</w:t>
      </w:r>
    </w:p>
    <w:p>
      <w:pPr>
        <w:spacing w:before="80" w:after="40"/>
        <w:jc w:val="center"/>
      </w:pPr>
      <w:r>
        <w:rPr>
          <w:rFonts w:ascii="Arial" w:cs="Arial" w:eastAsia="Arial" w:hAnsi="Arial"/>
          <w:i/>
          <w:iCs/>
          <w:color w:val="1A1A2E"/>
          <w:sz w:val="22"/>
          <w:szCs w:val="22"/>
        </w:rPr>
        <w:t xml:space="preserve">Public Version</w:t>
      </w:r>
    </w:p>
    <w:p>
      <w:pPr>
        <w:spacing w:before="40" w:after="400"/>
        <w:jc w:val="center"/>
      </w:pPr>
      <w:r>
        <w:rPr>
          <w:rFonts w:ascii="Arial" w:cs="Arial" w:eastAsia="Arial" w:hAnsi="Arial"/>
          <w:color w:val="1A1A2E"/>
          <w:sz w:val="22"/>
          <w:szCs w:val="22"/>
        </w:rPr>
        <w:t xml:space="preserve">February 2026</w:t>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1. Introduction</w:t>
      </w:r>
    </w:p>
    <w:p>
      <w:pPr>
        <w:spacing w:before="80" w:after="80" w:line="276"/>
      </w:pPr>
      <w:r>
        <w:rPr>
          <w:rFonts w:ascii="Arial" w:cs="Arial" w:eastAsia="Arial" w:hAnsi="Arial"/>
          <w:color w:val="1A1A2E"/>
          <w:sz w:val="20"/>
          <w:szCs w:val="20"/>
        </w:rPr>
        <w:t xml:space="preserve">The MNE token is the governance instrument of the Monee ecosystem. It enables decentralized decision-making through the Monee DAO, with operational execution entrusted to the Monee Foundation under defined fiduciary obligations.</w:t>
      </w:r>
    </w:p>
    <w:p>
      <w:pPr>
        <w:spacing w:before="80" w:after="80" w:line="276"/>
      </w:pPr>
      <w:r>
        <w:rPr>
          <w:rFonts w:ascii="Arial" w:cs="Arial" w:eastAsia="Arial" w:hAnsi="Arial"/>
          <w:color w:val="1A1A2E"/>
          <w:sz w:val="20"/>
          <w:szCs w:val="20"/>
        </w:rPr>
        <w:t xml:space="preserve">MNE is classified exclusively as a governance token. It does not confer revenue rights, yield, profit participation, equity, or debt characteristics of any kind. All utility derived from holding MNE is limited to participation in protocol governance.</w:t>
      </w:r>
    </w:p>
    <w:p>
      <w:pPr>
        <w:spacing w:before="80" w:after="80" w:line="276"/>
      </w:pPr>
      <w:r>
        <w:rPr>
          <w:rFonts w:ascii="Arial" w:cs="Arial" w:eastAsia="Arial" w:hAnsi="Arial"/>
          <w:color w:val="1A1A2E"/>
          <w:sz w:val="20"/>
          <w:szCs w:val="20"/>
        </w:rPr>
        <w:t xml:space="preserve">This document provides a public overview of the MNE token architecture, governance design, allocation framework, and compliance posture. It is intended for general informational purposes and does not constitute an offer, solicitation, or recommendation with respect to any securities or digital assets.</w:t>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2. Token Architecture</w:t>
      </w:r>
    </w:p>
    <w:p>
      <w:pPr>
        <w:spacing w:before="280" w:after="120"/>
      </w:pPr>
      <w:r>
        <w:rPr>
          <w:rFonts w:ascii="Arial" w:cs="Arial" w:eastAsia="Arial" w:hAnsi="Arial"/>
          <w:b/>
          <w:bCs/>
          <w:color w:val="16213E"/>
          <w:sz w:val="22"/>
          <w:szCs w:val="22"/>
        </w:rPr>
        <w:t xml:space="preserve">2.1 Technical Design</w:t>
      </w:r>
    </w:p>
    <w:p>
      <w:pPr>
        <w:spacing w:before="80" w:after="80" w:line="276"/>
      </w:pPr>
      <w:r>
        <w:rPr>
          <w:rFonts w:ascii="Arial" w:cs="Arial" w:eastAsia="Arial" w:hAnsi="Arial"/>
          <w:color w:val="1A1A2E"/>
          <w:sz w:val="20"/>
          <w:szCs w:val="20"/>
        </w:rPr>
        <w:t xml:space="preserve">MNE is deployed as a canonical ERC-20 token on Ethereum Layer 1. This is the sole authoritative token contract. No secondary mint authority, proxy upgrade mechanism, or alternative token representation exists.</w:t>
      </w:r>
    </w:p>
    <w:p>
      <w:pPr>
        <w:spacing w:before="200" w:after="80"/>
      </w:pPr>
      <w:r>
        <w:rPr>
          <w:rFonts w:ascii="Arial" w:cs="Arial" w:eastAsia="Arial" w:hAnsi="Arial"/>
          <w:b/>
          <w:bCs/>
          <w:color w:val="1A1A2E"/>
          <w:sz w:val="20"/>
          <w:szCs w:val="20"/>
        </w:rPr>
        <w:t xml:space="preserve">Core Design Principles: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Fixed Supply:</w:t>
      </w:r>
      <w:r>
        <w:rPr>
          <w:rFonts w:ascii="Arial" w:cs="Arial" w:eastAsia="Arial" w:hAnsi="Arial"/>
          <w:color w:val="1A1A2E"/>
          <w:sz w:val="20"/>
          <w:szCs w:val="20"/>
        </w:rPr>
        <w:t xml:space="preserve"> Total supply is permanently fixed at 7,000,000,000 MNE at the point of deployment. No contract function permits additional minting.</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Immutable Core Logic:</w:t>
      </w:r>
      <w:r>
        <w:rPr>
          <w:rFonts w:ascii="Arial" w:cs="Arial" w:eastAsia="Arial" w:hAnsi="Arial"/>
          <w:color w:val="1A1A2E"/>
          <w:sz w:val="20"/>
          <w:szCs w:val="20"/>
        </w:rPr>
        <w:t xml:space="preserve"> Vesting schedules for designated categories are encoded in non-upgradeable smart contracts.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No Inflationary Mechanism:</w:t>
      </w:r>
      <w:r>
        <w:rPr>
          <w:rFonts w:ascii="Arial" w:cs="Arial" w:eastAsia="Arial" w:hAnsi="Arial"/>
          <w:color w:val="1A1A2E"/>
          <w:sz w:val="20"/>
          <w:szCs w:val="20"/>
        </w:rPr>
        <w:t xml:space="preserve"> The protocol contains no mechanism, function, or governance pathway to increase total supply beyond 7,000,000,000 MNE.</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No Burn Mechanism:</w:t>
      </w:r>
      <w:r>
        <w:rPr>
          <w:rFonts w:ascii="Arial" w:cs="Arial" w:eastAsia="Arial" w:hAnsi="Arial"/>
          <w:color w:val="1A1A2E"/>
          <w:sz w:val="20"/>
          <w:szCs w:val="20"/>
        </w:rPr>
        <w:t xml:space="preserve"> No burn function is incorporated into the token contract. Total supply is permanently fixed. Any future consideration of supply reduction mechanisms would require a new governance proposal and is not contemplated under this framework.</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Institutional Compatibility:</w:t>
      </w:r>
      <w:r>
        <w:rPr>
          <w:rFonts w:ascii="Arial" w:cs="Arial" w:eastAsia="Arial" w:hAnsi="Arial"/>
          <w:color w:val="1A1A2E"/>
          <w:sz w:val="20"/>
          <w:szCs w:val="20"/>
        </w:rPr>
        <w:t xml:space="preserve"> Ethereum L1 deployment ensures compatibility with institutional custody infrastructure, standard audit frameworks, and exchange listing requirements.</w:t>
      </w:r>
    </w:p>
    <w:p>
      <w:pPr>
        <w:spacing w:before="80" w:after="80" w:line="276"/>
      </w:pPr>
      <w:r>
        <w:rPr>
          <w:rFonts w:ascii="Arial" w:cs="Arial" w:eastAsia="Arial" w:hAnsi="Arial"/>
          <w:color w:val="1A1A2E"/>
          <w:sz w:val="20"/>
          <w:szCs w:val="20"/>
        </w:rPr>
        <w:t xml:space="preserve">All core smart contracts will undergo independent security audit prior to the Token Generation Event, with audit reports published and accessible to all stakeholders.</w:t>
      </w:r>
    </w:p>
    <w:p>
      <w:pPr>
        <w:spacing w:before="280" w:after="120"/>
      </w:pPr>
      <w:r>
        <w:rPr>
          <w:rFonts w:ascii="Arial" w:cs="Arial" w:eastAsia="Arial" w:hAnsi="Arial"/>
          <w:b/>
          <w:bCs/>
          <w:color w:val="16213E"/>
          <w:sz w:val="22"/>
          <w:szCs w:val="22"/>
        </w:rPr>
        <w:t xml:space="preserve">2.2 Organizational Structure</w:t>
      </w:r>
    </w:p>
    <w:p>
      <w:pPr>
        <w:spacing w:before="80" w:after="80" w:line="276"/>
      </w:pPr>
      <w:r>
        <w:rPr>
          <w:rFonts w:ascii="Arial" w:cs="Arial" w:eastAsia="Arial" w:hAnsi="Arial"/>
          <w:color w:val="1A1A2E"/>
          <w:sz w:val="20"/>
          <w:szCs w:val="20"/>
        </w:rPr>
        <w:t xml:space="preserve">The Monee ecosystem operates through a three-entity governance architecture designed to separate decision-making authority from operational execution and technology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Entity</w:t>
            </w:r>
          </w:p>
        </w:tc>
        <w:tc>
          <w:tcPr>
            <w:tcW w:type="dxa" w:w="22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Role</w:t>
            </w:r>
          </w:p>
        </w:tc>
        <w:tc>
          <w:tcPr>
            <w:tcW w:type="dxa" w:w="516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Responsibilities</w:t>
            </w:r>
          </w:p>
        </w:tc>
      </w:tr>
      <w:tr>
        <w:tc>
          <w:tcPr>
            <w:tcW w:type="dxa" w:w="20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Monee DAO</w:t>
            </w:r>
          </w:p>
        </w:tc>
        <w:tc>
          <w:tcPr>
            <w:tcW w:type="dxa" w:w="22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Governance Authority</w:t>
            </w:r>
          </w:p>
        </w:tc>
        <w:tc>
          <w:tcPr>
            <w:tcW w:type="dxa" w:w="51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Protocol parameters, treasury allocation, strategic decisions</w:t>
            </w:r>
          </w:p>
        </w:tc>
      </w:tr>
      <w:tr>
        <w:tc>
          <w:tcPr>
            <w:tcW w:type="dxa" w:w="20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Monee Foundation</w:t>
            </w:r>
          </w:p>
        </w:tc>
        <w:tc>
          <w:tcPr>
            <w:tcW w:type="dxa" w:w="22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Operational Executor</w:t>
            </w:r>
          </w:p>
        </w:tc>
        <w:tc>
          <w:tcPr>
            <w:tcW w:type="dxa" w:w="51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DAO implementation, token custody, fiduciary oversight, risk management</w:t>
            </w:r>
          </w:p>
        </w:tc>
      </w:tr>
      <w:tr>
        <w:tc>
          <w:tcPr>
            <w:tcW w:type="dxa" w:w="20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Monee Finance</w:t>
            </w:r>
          </w:p>
        </w:tc>
        <w:tc>
          <w:tcPr>
            <w:tcW w:type="dxa" w:w="22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Technology Provider</w:t>
            </w:r>
          </w:p>
        </w:tc>
        <w:tc>
          <w:tcPr>
            <w:tcW w:type="dxa" w:w="51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Platform development, technical operations (no token authority)</w:t>
            </w:r>
          </w:p>
        </w:tc>
      </w:tr>
    </w:tbl>
    <w:p>
      <w:pPr>
        <w:spacing w:before="80" w:after="80"/>
      </w:pPr>
    </w:p>
    <w:p>
      <w:pPr>
        <w:spacing w:before="80" w:after="80" w:line="276"/>
      </w:pPr>
      <w:r>
        <w:rPr>
          <w:rFonts w:ascii="Arial" w:cs="Arial" w:eastAsia="Arial" w:hAnsi="Arial"/>
          <w:color w:val="1A1A2E"/>
          <w:sz w:val="20"/>
          <w:szCs w:val="20"/>
        </w:rPr>
        <w:t xml:space="preserve">The Monee Foundation is established as an independent legal entity domiciled in a jurisdiction selected for its regulatory clarity and foundation governance frameworks. The Foundation operates under a charter that defines director appointment and removal procedures, conflict of interest policies, and fiduciary obligations to the DAO and token holders. The Foundation charter will be made available to stakeholders prior to TGE.</w:t>
      </w:r>
    </w:p>
    <w:p>
      <w:pPr>
        <w:spacing w:before="80" w:after="80" w:line="276"/>
      </w:pPr>
      <w:r>
        <w:rPr>
          <w:rFonts w:ascii="Arial" w:cs="Arial" w:eastAsia="Arial" w:hAnsi="Arial"/>
          <w:color w:val="1A1A2E"/>
          <w:sz w:val="20"/>
          <w:szCs w:val="20"/>
        </w:rPr>
        <w:t xml:space="preserve">The Foundation does not participate in governance voting. Foundation-custodied tokens are excluded from Effective Voting Supply and are not delegated for governance participation unless explicitly authorized by DAO resolution.</w:t>
      </w:r>
    </w:p>
    <w:p>
      <w:pPr>
        <w:spacing w:before="80" w:after="80" w:line="276"/>
      </w:pPr>
      <w:r>
        <w:rPr>
          <w:rFonts w:ascii="Arial" w:cs="Arial" w:eastAsia="Arial" w:hAnsi="Arial"/>
          <w:color w:val="1A1A2E"/>
          <w:sz w:val="20"/>
          <w:szCs w:val="20"/>
        </w:rPr>
        <w:t xml:space="preserve">Monee Finance, the technology provider, holds no token authority, no governance role, and no custody over MNE tokens. This separation insulates the operating company from token-related regulatory considerations and protects token holders from operating company liabilities.</w:t>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3. Token Allocation</w:t>
      </w:r>
    </w:p>
    <w:p>
      <w:pPr>
        <w:spacing w:before="280" w:after="120"/>
      </w:pPr>
      <w:r>
        <w:rPr>
          <w:rFonts w:ascii="Arial" w:cs="Arial" w:eastAsia="Arial" w:hAnsi="Arial"/>
          <w:b/>
          <w:bCs/>
          <w:color w:val="16213E"/>
          <w:sz w:val="22"/>
          <w:szCs w:val="22"/>
        </w:rPr>
        <w:t xml:space="preserve">3.1 Distribution Framework</w:t>
      </w:r>
    </w:p>
    <w:p>
      <w:pPr>
        <w:spacing w:before="80" w:after="80" w:line="276"/>
      </w:pPr>
      <w:r>
        <w:rPr>
          <w:rFonts w:ascii="Arial" w:cs="Arial" w:eastAsia="Arial" w:hAnsi="Arial"/>
          <w:color w:val="1A1A2E"/>
          <w:sz w:val="20"/>
          <w:szCs w:val="20"/>
        </w:rPr>
        <w:t xml:space="preserve">The total supply of 7,000,000,000 MNE is allocated across four categories, each serving a distinct structural purpose within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Category</w:t>
            </w:r>
          </w:p>
        </w:tc>
        <w:tc>
          <w:tcPr>
            <w:tcW w:type="dxa" w:w="16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Allocation</w:t>
            </w:r>
          </w:p>
        </w:tc>
        <w:tc>
          <w:tcPr>
            <w:tcW w:type="dxa" w:w="24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Tokens</w:t>
            </w:r>
          </w:p>
        </w:tc>
        <w:tc>
          <w:tcPr>
            <w:tcW w:type="dxa" w:w="256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Classification</w:t>
            </w:r>
          </w:p>
        </w:tc>
      </w:tr>
      <w:tr>
        <w:tc>
          <w:tcPr>
            <w:tcW w:type="dxa" w:w="2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Ecosystem Development</w:t>
            </w:r>
          </w:p>
        </w:tc>
        <w:tc>
          <w:tcPr>
            <w:tcW w:type="dxa" w:w="1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53%</w:t>
            </w:r>
          </w:p>
        </w:tc>
        <w:tc>
          <w:tcPr>
            <w:tcW w:type="dxa" w:w="24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3,710,000,000</w:t>
            </w:r>
          </w:p>
        </w:tc>
        <w:tc>
          <w:tcPr>
            <w:tcW w:type="dxa" w:w="25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Adjustable</w:t>
            </w:r>
          </w:p>
        </w:tc>
      </w:tr>
      <w:tr>
        <w:tc>
          <w:tcPr>
            <w:tcW w:type="dxa" w:w="28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Protocol Operations</w:t>
            </w:r>
          </w:p>
        </w:tc>
        <w:tc>
          <w:tcPr>
            <w:tcW w:type="dxa" w:w="16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31%</w:t>
            </w:r>
          </w:p>
        </w:tc>
        <w:tc>
          <w:tcPr>
            <w:tcW w:type="dxa" w:w="24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2,170,000,000</w:t>
            </w:r>
          </w:p>
        </w:tc>
        <w:tc>
          <w:tcPr>
            <w:tcW w:type="dxa" w:w="25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Immutable</w:t>
            </w:r>
          </w:p>
        </w:tc>
      </w:tr>
      <w:tr>
        <w:tc>
          <w:tcPr>
            <w:tcW w:type="dxa" w:w="2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Strategic Investors</w:t>
            </w:r>
          </w:p>
        </w:tc>
        <w:tc>
          <w:tcPr>
            <w:tcW w:type="dxa" w:w="1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14%</w:t>
            </w:r>
          </w:p>
        </w:tc>
        <w:tc>
          <w:tcPr>
            <w:tcW w:type="dxa" w:w="24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980,000,000</w:t>
            </w:r>
          </w:p>
        </w:tc>
        <w:tc>
          <w:tcPr>
            <w:tcW w:type="dxa" w:w="25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Immutable</w:t>
            </w:r>
          </w:p>
        </w:tc>
      </w:tr>
      <w:tr>
        <w:tc>
          <w:tcPr>
            <w:tcW w:type="dxa" w:w="28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Community</w:t>
            </w:r>
          </w:p>
        </w:tc>
        <w:tc>
          <w:tcPr>
            <w:tcW w:type="dxa" w:w="16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2%</w:t>
            </w:r>
          </w:p>
        </w:tc>
        <w:tc>
          <w:tcPr>
            <w:tcW w:type="dxa" w:w="24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140,000,000</w:t>
            </w:r>
          </w:p>
        </w:tc>
        <w:tc>
          <w:tcPr>
            <w:tcW w:type="dxa" w:w="25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Immutable</w:t>
            </w:r>
          </w:p>
        </w:tc>
      </w:tr>
      <w:tr>
        <w:tc>
          <w:tcPr>
            <w:tcW w:type="dxa" w:w="2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Total</w:t>
            </w:r>
          </w:p>
        </w:tc>
        <w:tc>
          <w:tcPr>
            <w:tcW w:type="dxa" w:w="1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100%</w:t>
            </w:r>
          </w:p>
        </w:tc>
        <w:tc>
          <w:tcPr>
            <w:tcW w:type="dxa" w:w="24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7,000,000,000</w:t>
            </w:r>
          </w:p>
        </w:tc>
        <w:tc>
          <w:tcPr>
            <w:tcW w:type="dxa" w:w="25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
            </w:r>
          </w:p>
        </w:tc>
      </w:tr>
    </w:tbl>
    <w:p>
      <w:pPr>
        <w:spacing w:before="280" w:after="120"/>
      </w:pPr>
      <w:r>
        <w:rPr>
          <w:rFonts w:ascii="Arial" w:cs="Arial" w:eastAsia="Arial" w:hAnsi="Arial"/>
          <w:b/>
          <w:bCs/>
          <w:color w:val="16213E"/>
          <w:sz w:val="22"/>
          <w:szCs w:val="22"/>
        </w:rPr>
        <w:t xml:space="preserve">3.2 Allocation Principles</w:t>
      </w:r>
    </w:p>
    <w:p>
      <w:pPr>
        <w:spacing w:before="200" w:after="80"/>
      </w:pPr>
      <w:r>
        <w:rPr>
          <w:rFonts w:ascii="Arial" w:cs="Arial" w:eastAsia="Arial" w:hAnsi="Arial"/>
          <w:b/>
          <w:bCs/>
          <w:color w:val="1A1A2E"/>
          <w:sz w:val="20"/>
          <w:szCs w:val="20"/>
        </w:rPr>
        <w:t xml:space="preserve">Ecosystem Development (53%) — Adjustable</w:t>
      </w:r>
    </w:p>
    <w:p>
      <w:pPr>
        <w:spacing w:before="80" w:after="80" w:line="276"/>
      </w:pPr>
      <w:r>
        <w:rPr>
          <w:rFonts w:ascii="Arial" w:cs="Arial" w:eastAsia="Arial" w:hAnsi="Arial"/>
          <w:color w:val="1A1A2E"/>
          <w:sz w:val="20"/>
          <w:szCs w:val="20"/>
        </w:rPr>
        <w:t xml:space="preserve">The majority allocation is designated for long-term ecosystem sustainability, including developer grants, ecosystem incentive programs, partnerships, and strategic initiatives. This category operates under DAO governance with Foundation execution, preserving flexibility to adapt to ecosystem needs over multiple decades.</w:t>
      </w:r>
    </w:p>
    <w:p>
      <w:pPr>
        <w:spacing w:before="200" w:after="80"/>
      </w:pPr>
      <w:r>
        <w:rPr>
          <w:rFonts w:ascii="Arial" w:cs="Arial" w:eastAsia="Arial" w:hAnsi="Arial"/>
          <w:b/>
          <w:bCs/>
          <w:color w:val="1A1A2E"/>
          <w:sz w:val="20"/>
          <w:szCs w:val="20"/>
        </w:rPr>
        <w:t xml:space="preserve">Protocol Operations (31%) — Immutable</w:t>
      </w:r>
    </w:p>
    <w:p>
      <w:pPr>
        <w:spacing w:before="80" w:after="80" w:line="276"/>
      </w:pPr>
      <w:r>
        <w:rPr>
          <w:rFonts w:ascii="Arial" w:cs="Arial" w:eastAsia="Arial" w:hAnsi="Arial"/>
          <w:color w:val="1A1A2E"/>
          <w:sz w:val="20"/>
          <w:szCs w:val="20"/>
        </w:rPr>
        <w:t xml:space="preserve">Aligns long-term contributor incentives with protocol success through fixed vesting schedules. This allocation encompasses founding contributors, core development team, and future protocol contributors. Vesting terms are contractually immutable and cannot be modified by governance action. Individual allocations within this category are subject to the same cliff and vesting terms.</w:t>
      </w:r>
    </w:p>
    <w:p>
      <w:pPr>
        <w:spacing w:before="200" w:after="80"/>
      </w:pPr>
      <w:r>
        <w:rPr>
          <w:rFonts w:ascii="Arial" w:cs="Arial" w:eastAsia="Arial" w:hAnsi="Arial"/>
          <w:b/>
          <w:bCs/>
          <w:color w:val="1A1A2E"/>
          <w:sz w:val="20"/>
          <w:szCs w:val="20"/>
        </w:rPr>
        <w:t xml:space="preserve">Strategic Investors (14%) — Immutable</w:t>
      </w:r>
    </w:p>
    <w:p>
      <w:pPr>
        <w:spacing w:before="80" w:after="80" w:line="276"/>
      </w:pPr>
      <w:r>
        <w:rPr>
          <w:rFonts w:ascii="Arial" w:cs="Arial" w:eastAsia="Arial" w:hAnsi="Arial"/>
          <w:color w:val="1A1A2E"/>
          <w:sz w:val="20"/>
          <w:szCs w:val="20"/>
        </w:rPr>
        <w:t xml:space="preserve">Limited to Seed and Series A participants, maintaining a minority ownership position to preserve decentralization. Vesting schedules are contractually fixed and non-adjustable, providing predictable unlock mechanics for all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Round</w:t>
            </w:r>
          </w:p>
        </w:tc>
        <w:tc>
          <w:tcPr>
            <w:tcW w:type="dxa" w:w="32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Tokens</w:t>
            </w:r>
          </w:p>
        </w:tc>
        <w:tc>
          <w:tcPr>
            <w:tcW w:type="dxa" w:w="296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 of Supply</w:t>
            </w:r>
          </w:p>
        </w:tc>
      </w:tr>
      <w:tr>
        <w:tc>
          <w:tcPr>
            <w:tcW w:type="dxa" w:w="32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Seed</w:t>
            </w:r>
          </w:p>
        </w:tc>
        <w:tc>
          <w:tcPr>
            <w:tcW w:type="dxa" w:w="32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392,000,000</w:t>
            </w:r>
          </w:p>
        </w:tc>
        <w:tc>
          <w:tcPr>
            <w:tcW w:type="dxa" w:w="29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5.6%</w:t>
            </w:r>
          </w:p>
        </w:tc>
      </w:tr>
      <w:tr>
        <w:tc>
          <w:tcPr>
            <w:tcW w:type="dxa" w:w="32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Series A</w:t>
            </w:r>
          </w:p>
        </w:tc>
        <w:tc>
          <w:tcPr>
            <w:tcW w:type="dxa" w:w="32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588,000,000</w:t>
            </w:r>
          </w:p>
        </w:tc>
        <w:tc>
          <w:tcPr>
            <w:tcW w:type="dxa" w:w="29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8.4%</w:t>
            </w:r>
          </w:p>
        </w:tc>
      </w:tr>
    </w:tbl>
    <w:p>
      <w:pPr>
        <w:spacing w:before="80" w:after="80"/>
      </w:pPr>
    </w:p>
    <w:p>
      <w:pPr>
        <w:spacing w:before="200" w:after="80"/>
      </w:pPr>
      <w:r>
        <w:rPr>
          <w:rFonts w:ascii="Arial" w:cs="Arial" w:eastAsia="Arial" w:hAnsi="Arial"/>
          <w:b/>
          <w:bCs/>
          <w:color w:val="1A1A2E"/>
          <w:sz w:val="20"/>
          <w:szCs w:val="20"/>
        </w:rPr>
        <w:t xml:space="preserve">Community (2%) — Immutable</w:t>
      </w:r>
    </w:p>
    <w:p>
      <w:pPr>
        <w:spacing w:before="80" w:after="80" w:line="276"/>
      </w:pPr>
      <w:r>
        <w:rPr>
          <w:rFonts w:ascii="Arial" w:cs="Arial" w:eastAsia="Arial" w:hAnsi="Arial"/>
          <w:color w:val="1A1A2E"/>
          <w:sz w:val="20"/>
          <w:szCs w:val="20"/>
        </w:rPr>
        <w:t xml:space="preserve">Enables broad governance participation through non-fundraising distribution with fixed distribution mechanics to ensure fair access.</w:t>
      </w:r>
    </w:p>
    <w:p>
      <w:pPr>
        <w:spacing w:before="280" w:after="120"/>
      </w:pPr>
      <w:r>
        <w:rPr>
          <w:rFonts w:ascii="Arial" w:cs="Arial" w:eastAsia="Arial" w:hAnsi="Arial"/>
          <w:b/>
          <w:bCs/>
          <w:color w:val="16213E"/>
          <w:sz w:val="22"/>
          <w:szCs w:val="22"/>
        </w:rPr>
        <w:t xml:space="preserve">3.3 Adjustable vs. Immutable Distinction</w:t>
      </w:r>
    </w:p>
    <w:p>
      <w:pPr>
        <w:spacing w:before="80" w:after="80" w:line="276"/>
      </w:pPr>
      <w:r>
        <w:rPr>
          <w:rFonts w:ascii="Arial" w:cs="Arial" w:eastAsia="Arial" w:hAnsi="Arial"/>
          <w:color w:val="1A1A2E"/>
          <w:sz w:val="20"/>
          <w:szCs w:val="20"/>
        </w:rPr>
        <w:t xml:space="preserve">A foundational design principle of the MNE framework is the distinction between adjustable and immutable token categories.</w:t>
      </w:r>
    </w:p>
    <w:p>
      <w:pPr>
        <w:spacing w:before="80" w:after="8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Adjustable:</w:t>
      </w:r>
      <w:r>
        <w:rPr>
          <w:rFonts w:ascii="Arial" w:cs="Arial" w:eastAsia="Arial" w:hAnsi="Arial"/>
          <w:color w:val="1A1A2E"/>
          <w:sz w:val="20"/>
          <w:szCs w:val="20"/>
        </w:rPr>
        <w:t xml:space="preserve"> The Ecosystem Development allocation is the sole adjustable category. Deployment from this allocation is subject to DAO governance and Foundation execution, and may be adapted based on ecosystem priorities and governance decisions.</w:t>
      </w:r>
    </w:p>
    <w:p>
      <w:pPr>
        <w:spacing w:before="80" w:after="8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Immutable:</w:t>
      </w:r>
      <w:r>
        <w:rPr>
          <w:rFonts w:ascii="Arial" w:cs="Arial" w:eastAsia="Arial" w:hAnsi="Arial"/>
          <w:color w:val="1A1A2E"/>
          <w:sz w:val="20"/>
          <w:szCs w:val="20"/>
        </w:rPr>
        <w:t xml:space="preserve"> Protocol Operations, Strategic Investors, and Community allocations follow fixed, contractual vesting schedules encoded in non-upgradeable smart contracts. These schedules execute automatically per their defined parameters and cannot be modified by any governance action.</w:t>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4. Vesting Architecture</w:t>
      </w:r>
    </w:p>
    <w:p>
      <w:pPr>
        <w:spacing w:before="80" w:after="80" w:line="276"/>
      </w:pPr>
      <w:r>
        <w:rPr>
          <w:rFonts w:ascii="Arial" w:cs="Arial" w:eastAsia="Arial" w:hAnsi="Arial"/>
          <w:color w:val="1A1A2E"/>
          <w:sz w:val="20"/>
          <w:szCs w:val="20"/>
        </w:rPr>
        <w:t xml:space="preserve">All token categories other than Ecosystem Development are subject to defined cliff and linear vesting periods. Vesting schedules for immutable categories are enforced at the smart contract level and are not subject to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360"/>
      </w:tblGrid>
      <w:tr>
        <w:tc>
          <w:tcPr>
            <w:tcW w:type="dxa" w:w="26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Category</w:t>
            </w:r>
          </w:p>
        </w:tc>
        <w:tc>
          <w:tcPr>
            <w:tcW w:type="dxa" w:w="18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Cliff</w:t>
            </w:r>
          </w:p>
        </w:tc>
        <w:tc>
          <w:tcPr>
            <w:tcW w:type="dxa" w:w="26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Vesting Period</w:t>
            </w:r>
          </w:p>
        </w:tc>
        <w:tc>
          <w:tcPr>
            <w:tcW w:type="dxa" w:w="236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Status</w:t>
            </w:r>
          </w:p>
        </w:tc>
      </w:tr>
      <w:tr>
        <w:tc>
          <w:tcPr>
            <w:tcW w:type="dxa" w:w="2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Ecosystem Development</w:t>
            </w:r>
          </w:p>
        </w:tc>
        <w:tc>
          <w:tcPr>
            <w:tcW w:type="dxa" w:w="1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6 months</w:t>
            </w:r>
          </w:p>
        </w:tc>
        <w:tc>
          <w:tcPr>
            <w:tcW w:type="dxa" w:w="2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Governance-directed</w:t>
            </w:r>
          </w:p>
        </w:tc>
        <w:tc>
          <w:tcPr>
            <w:tcW w:type="dxa" w:w="23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Adjustable</w:t>
            </w:r>
          </w:p>
        </w:tc>
      </w:tr>
      <w:tr>
        <w:tc>
          <w:tcPr>
            <w:tcW w:type="dxa" w:w="26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Protocol Operations</w:t>
            </w:r>
          </w:p>
        </w:tc>
        <w:tc>
          <w:tcPr>
            <w:tcW w:type="dxa" w:w="18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12 months</w:t>
            </w:r>
          </w:p>
        </w:tc>
        <w:tc>
          <w:tcPr>
            <w:tcW w:type="dxa" w:w="26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36 months linear</w:t>
            </w:r>
          </w:p>
        </w:tc>
        <w:tc>
          <w:tcPr>
            <w:tcW w:type="dxa" w:w="23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Immutable</w:t>
            </w:r>
          </w:p>
        </w:tc>
      </w:tr>
      <w:tr>
        <w:tc>
          <w:tcPr>
            <w:tcW w:type="dxa" w:w="2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Seed Investors</w:t>
            </w:r>
          </w:p>
        </w:tc>
        <w:tc>
          <w:tcPr>
            <w:tcW w:type="dxa" w:w="1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9 months</w:t>
            </w:r>
          </w:p>
        </w:tc>
        <w:tc>
          <w:tcPr>
            <w:tcW w:type="dxa" w:w="2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24 months linear</w:t>
            </w:r>
          </w:p>
        </w:tc>
        <w:tc>
          <w:tcPr>
            <w:tcW w:type="dxa" w:w="23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Immutable</w:t>
            </w:r>
          </w:p>
        </w:tc>
      </w:tr>
      <w:tr>
        <w:tc>
          <w:tcPr>
            <w:tcW w:type="dxa" w:w="26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Series A Investors</w:t>
            </w:r>
          </w:p>
        </w:tc>
        <w:tc>
          <w:tcPr>
            <w:tcW w:type="dxa" w:w="18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6 months</w:t>
            </w:r>
          </w:p>
        </w:tc>
        <w:tc>
          <w:tcPr>
            <w:tcW w:type="dxa" w:w="26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21 months linear</w:t>
            </w:r>
          </w:p>
        </w:tc>
        <w:tc>
          <w:tcPr>
            <w:tcW w:type="dxa" w:w="23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Immutable</w:t>
            </w:r>
          </w:p>
        </w:tc>
      </w:tr>
      <w:tr>
        <w:tc>
          <w:tcPr>
            <w:tcW w:type="dxa" w:w="2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Community (TGE)</w:t>
            </w:r>
          </w:p>
        </w:tc>
        <w:tc>
          <w:tcPr>
            <w:tcW w:type="dxa" w:w="1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None</w:t>
            </w:r>
          </w:p>
        </w:tc>
        <w:tc>
          <w:tcPr>
            <w:tcW w:type="dxa" w:w="26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Immediate</w:t>
            </w:r>
          </w:p>
        </w:tc>
        <w:tc>
          <w:tcPr>
            <w:tcW w:type="dxa" w:w="23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Liquid</w:t>
            </w:r>
          </w:p>
        </w:tc>
      </w:tr>
      <w:tr>
        <w:tc>
          <w:tcPr>
            <w:tcW w:type="dxa" w:w="26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Community (Vested)</w:t>
            </w:r>
          </w:p>
        </w:tc>
        <w:tc>
          <w:tcPr>
            <w:tcW w:type="dxa" w:w="18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60 days</w:t>
            </w:r>
          </w:p>
        </w:tc>
        <w:tc>
          <w:tcPr>
            <w:tcW w:type="dxa" w:w="26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12 months linear</w:t>
            </w:r>
          </w:p>
        </w:tc>
        <w:tc>
          <w:tcPr>
            <w:tcW w:type="dxa" w:w="23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Immutable</w:t>
            </w:r>
          </w:p>
        </w:tc>
      </w:tr>
    </w:tbl>
    <w:p>
      <w:pPr>
        <w:spacing w:before="80" w:after="80"/>
      </w:pPr>
    </w:p>
    <w:p>
      <w:pPr>
        <w:spacing w:before="80" w:after="80" w:line="276"/>
      </w:pPr>
      <w:r>
        <w:rPr>
          <w:rFonts w:ascii="Arial" w:cs="Arial" w:eastAsia="Arial" w:hAnsi="Arial"/>
          <w:color w:val="1A1A2E"/>
          <w:sz w:val="20"/>
          <w:szCs w:val="20"/>
        </w:rPr>
        <w:t xml:space="preserve">Token allocation does not equal token circulation. Allocated tokens become circulating only upon completion of applicable vesting periods and expiry of transfer restrictions.</w:t>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5. Governance Framework</w:t>
      </w:r>
    </w:p>
    <w:p>
      <w:pPr>
        <w:spacing w:before="280" w:after="120"/>
      </w:pPr>
      <w:r>
        <w:rPr>
          <w:rFonts w:ascii="Arial" w:cs="Arial" w:eastAsia="Arial" w:hAnsi="Arial"/>
          <w:b/>
          <w:bCs/>
          <w:color w:val="16213E"/>
          <w:sz w:val="22"/>
          <w:szCs w:val="22"/>
        </w:rPr>
        <w:t xml:space="preserve">5.1 Governance Parameters</w:t>
      </w:r>
    </w:p>
    <w:p>
      <w:pPr>
        <w:spacing w:before="80" w:after="80" w:line="276"/>
      </w:pPr>
      <w:r>
        <w:rPr>
          <w:rFonts w:ascii="Arial" w:cs="Arial" w:eastAsia="Arial" w:hAnsi="Arial"/>
          <w:color w:val="1A1A2E"/>
          <w:sz w:val="20"/>
          <w:szCs w:val="20"/>
        </w:rPr>
        <w:t xml:space="preserve">MNE governance operates through an on-chain DAO with the following core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Parameter</w:t>
            </w:r>
          </w:p>
        </w:tc>
        <w:tc>
          <w:tcPr>
            <w:tcW w:type="dxa" w:w="280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Value</w:t>
            </w:r>
          </w:p>
        </w:tc>
        <w:tc>
          <w:tcPr>
            <w:tcW w:type="dxa" w:w="416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Description</w:t>
            </w:r>
          </w:p>
        </w:tc>
      </w:tr>
      <w:tr>
        <w:tc>
          <w:tcPr>
            <w:tcW w:type="dxa" w:w="24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Proposal Threshold</w:t>
            </w:r>
          </w:p>
        </w:tc>
        <w:tc>
          <w:tcPr>
            <w:tcW w:type="dxa" w:w="2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7,000,000 MNE</w:t>
            </w:r>
          </w:p>
        </w:tc>
        <w:tc>
          <w:tcPr>
            <w:tcW w:type="dxa" w:w="41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0.1% of total supply required to submit a proposal</w:t>
            </w:r>
          </w:p>
        </w:tc>
      </w:tr>
      <w:tr>
        <w:tc>
          <w:tcPr>
            <w:tcW w:type="dxa" w:w="24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Quorum</w:t>
            </w:r>
          </w:p>
        </w:tc>
        <w:tc>
          <w:tcPr>
            <w:tcW w:type="dxa" w:w="28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12% of Effective Voting Supply</w:t>
            </w:r>
          </w:p>
        </w:tc>
        <w:tc>
          <w:tcPr>
            <w:tcW w:type="dxa" w:w="41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Dynamic quorum based on active, eligible voting power</w:t>
            </w:r>
          </w:p>
        </w:tc>
      </w:tr>
      <w:tr>
        <w:tc>
          <w:tcPr>
            <w:tcW w:type="dxa" w:w="24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Voting Period</w:t>
            </w:r>
          </w:p>
        </w:tc>
        <w:tc>
          <w:tcPr>
            <w:tcW w:type="dxa" w:w="2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72 hours</w:t>
            </w:r>
          </w:p>
        </w:tc>
        <w:tc>
          <w:tcPr>
            <w:tcW w:type="dxa" w:w="41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Standard deliberation and voting window</w:t>
            </w:r>
          </w:p>
        </w:tc>
      </w:tr>
      <w:tr>
        <w:tc>
          <w:tcPr>
            <w:tcW w:type="dxa" w:w="24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Execution Timelock</w:t>
            </w:r>
          </w:p>
        </w:tc>
        <w:tc>
          <w:tcPr>
            <w:tcW w:type="dxa" w:w="280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48 hours</w:t>
            </w:r>
          </w:p>
        </w:tc>
        <w:tc>
          <w:tcPr>
            <w:tcW w:type="dxa" w:w="416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Mandatory security delay before execution of approved proposals</w:t>
            </w:r>
          </w:p>
        </w:tc>
      </w:tr>
      <w:tr>
        <w:tc>
          <w:tcPr>
            <w:tcW w:type="dxa" w:w="24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Delegation</w:t>
            </w:r>
          </w:p>
        </w:tc>
        <w:tc>
          <w:tcPr>
            <w:tcW w:type="dxa" w:w="280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Supported</w:t>
            </w:r>
          </w:p>
        </w:tc>
        <w:tc>
          <w:tcPr>
            <w:tcW w:type="dxa" w:w="416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Token holders may delegate voting power to representatives</w:t>
            </w:r>
          </w:p>
        </w:tc>
      </w:tr>
    </w:tbl>
    <w:p>
      <w:pPr>
        <w:spacing w:before="280" w:after="120"/>
      </w:pPr>
      <w:r>
        <w:rPr>
          <w:rFonts w:ascii="Arial" w:cs="Arial" w:eastAsia="Arial" w:hAnsi="Arial"/>
          <w:b/>
          <w:bCs/>
          <w:color w:val="16213E"/>
          <w:sz w:val="22"/>
          <w:szCs w:val="22"/>
        </w:rPr>
        <w:t xml:space="preserve">5.2 Effective Voting Supply</w:t>
      </w:r>
    </w:p>
    <w:p>
      <w:pPr>
        <w:spacing w:before="80" w:after="80" w:line="276"/>
      </w:pPr>
      <w:r>
        <w:rPr>
          <w:rFonts w:ascii="Arial" w:cs="Arial" w:eastAsia="Arial" w:hAnsi="Arial"/>
          <w:color w:val="1A1A2E"/>
          <w:sz w:val="20"/>
          <w:szCs w:val="20"/>
        </w:rPr>
        <w:t xml:space="preserve">Quorum is calculated against Effective Voting Supply (EVS), defined as the circulating MNE supply excluding tokens locked in vote-escrow contracts and tokens held in Foundation custody that are not delegated for governance participation.</w:t>
      </w:r>
    </w:p>
    <w:p>
      <w:pPr>
        <w:spacing w:before="80" w:after="80" w:line="276"/>
      </w:pPr>
      <w:r>
        <w:rPr>
          <w:rFonts w:ascii="Arial" w:cs="Arial" w:eastAsia="Arial" w:hAnsi="Arial"/>
          <w:color w:val="1A1A2E"/>
          <w:sz w:val="20"/>
          <w:szCs w:val="20"/>
        </w:rPr>
        <w:t xml:space="preserve">This methodology ensures quorum reflects the portion of token supply that is practically able to participate in governance at any point in time, rather than total token issuance. The quorum percentage is itself a governance parameter: the initial value of 12% may be modified only through a DAO proposal requiring participation of at least 20% of Effective Voting Supply. The Foundation does not possess authority to modify quorum parameters unilaterally.</w:t>
      </w:r>
    </w:p>
    <w:p>
      <w:pPr>
        <w:spacing w:before="280" w:after="120"/>
      </w:pPr>
      <w:r>
        <w:rPr>
          <w:rFonts w:ascii="Arial" w:cs="Arial" w:eastAsia="Arial" w:hAnsi="Arial"/>
          <w:b/>
          <w:bCs/>
          <w:color w:val="16213E"/>
          <w:sz w:val="22"/>
          <w:szCs w:val="22"/>
        </w:rPr>
        <w:t xml:space="preserve">5.3 Vote-Escrow System (veMNE)</w:t>
      </w:r>
    </w:p>
    <w:p>
      <w:pPr>
        <w:spacing w:before="80" w:after="80" w:line="276"/>
      </w:pPr>
      <w:r>
        <w:rPr>
          <w:rFonts w:ascii="Arial" w:cs="Arial" w:eastAsia="Arial" w:hAnsi="Arial"/>
          <w:color w:val="1A1A2E"/>
          <w:sz w:val="20"/>
          <w:szCs w:val="20"/>
        </w:rPr>
        <w:t xml:space="preserve">MNE holders may voluntarily lock tokens for defined periods to receive enhanced governance weight. The vote-escrow mechanism incentivizes long-term alignment between governance participants and protocol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Lock Duration</w:t>
            </w:r>
          </w:p>
        </w:tc>
        <w:tc>
          <w:tcPr>
            <w:tcW w:type="dxa" w:w="4680"/>
            <w:tcBorders>
              <w:top w:val="single" w:color="C0C8D4" w:sz="1"/>
              <w:left w:val="single" w:color="C0C8D4" w:sz="1"/>
              <w:bottom w:val="single" w:color="C0C8D4" w:sz="1"/>
              <w:right w:val="single" w:color="C0C8D4" w:sz="1"/>
            </w:tcBorders>
            <w:shd w:fill="E8EDF3" w:val="clear"/>
            <w:tcMar>
              <w:top w:type="dxa" w:w="60"/>
              <w:left w:type="dxa" w:w="100"/>
              <w:bottom w:type="dxa" w:w="60"/>
              <w:right w:type="dxa" w:w="100"/>
            </w:tcMar>
          </w:tcPr>
          <w:p>
            <w:pPr>
              <w:jc w:val="left"/>
            </w:pPr>
            <w:r>
              <w:rPr>
                <w:rFonts w:ascii="Arial" w:cs="Arial" w:eastAsia="Arial" w:hAnsi="Arial"/>
                <w:b/>
                <w:bCs/>
                <w:color w:val="1A1A2E"/>
                <w:sz w:val="18"/>
                <w:szCs w:val="18"/>
              </w:rPr>
              <w:t xml:space="preserve">Voting Multiplier</w:t>
            </w:r>
          </w:p>
        </w:tc>
      </w:tr>
      <w:tr>
        <w:tc>
          <w:tcPr>
            <w:tcW w:type="dxa" w:w="468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No lock</w:t>
            </w:r>
          </w:p>
        </w:tc>
        <w:tc>
          <w:tcPr>
            <w:tcW w:type="dxa" w:w="468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1.0×</w:t>
            </w:r>
          </w:p>
        </w:tc>
      </w:tr>
      <w:tr>
        <w:tc>
          <w:tcPr>
            <w:tcW w:type="dxa" w:w="468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6 months</w:t>
            </w:r>
          </w:p>
        </w:tc>
        <w:tc>
          <w:tcPr>
            <w:tcW w:type="dxa" w:w="468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1.5×</w:t>
            </w:r>
          </w:p>
        </w:tc>
      </w:tr>
      <w:tr>
        <w:tc>
          <w:tcPr>
            <w:tcW w:type="dxa" w:w="468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12 months</w:t>
            </w:r>
          </w:p>
        </w:tc>
        <w:tc>
          <w:tcPr>
            <w:tcW w:type="dxa" w:w="468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2.0×</w:t>
            </w:r>
          </w:p>
        </w:tc>
      </w:tr>
      <w:tr>
        <w:tc>
          <w:tcPr>
            <w:tcW w:type="dxa" w:w="468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24 months</w:t>
            </w:r>
          </w:p>
        </w:tc>
        <w:tc>
          <w:tcPr>
            <w:tcW w:type="dxa" w:w="4680"/>
            <w:tcBorders>
              <w:top w:val="single" w:color="C0C8D4" w:sz="1"/>
              <w:left w:val="single" w:color="C0C8D4" w:sz="1"/>
              <w:bottom w:val="single" w:color="C0C8D4" w:sz="1"/>
              <w:right w:val="single" w:color="C0C8D4"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3.0×</w:t>
            </w:r>
          </w:p>
        </w:tc>
      </w:tr>
      <w:tr>
        <w:tc>
          <w:tcPr>
            <w:tcW w:type="dxa" w:w="468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48 months</w:t>
            </w:r>
          </w:p>
        </w:tc>
        <w:tc>
          <w:tcPr>
            <w:tcW w:type="dxa" w:w="4680"/>
            <w:tcBorders>
              <w:top w:val="single" w:color="C0C8D4" w:sz="1"/>
              <w:left w:val="single" w:color="C0C8D4" w:sz="1"/>
              <w:bottom w:val="single" w:color="C0C8D4" w:sz="1"/>
              <w:right w:val="single" w:color="C0C8D4" w:sz="1"/>
            </w:tcBorders>
            <w:tcMar>
              <w:top w:type="dxa" w:w="60"/>
              <w:left w:type="dxa" w:w="100"/>
              <w:bottom w:type="dxa" w:w="60"/>
              <w:right w:type="dxa" w:w="100"/>
            </w:tcMar>
          </w:tcPr>
          <w:p>
            <w:pPr>
              <w:jc w:val="left"/>
            </w:pPr>
            <w:r>
              <w:rPr>
                <w:rFonts w:ascii="Arial" w:cs="Arial" w:eastAsia="Arial" w:hAnsi="Arial"/>
                <w:b w:val="false"/>
                <w:bCs w:val="false"/>
                <w:color w:val="1A1A2E"/>
                <w:sz w:val="18"/>
                <w:szCs w:val="18"/>
              </w:rPr>
              <w:t xml:space="preserve">4.0×</w:t>
            </w:r>
          </w:p>
        </w:tc>
      </w:tr>
    </w:tbl>
    <w:p>
      <w:pPr>
        <w:spacing w:before="80" w:after="80"/>
      </w:pPr>
    </w:p>
    <w:p>
      <w:pPr>
        <w:spacing w:before="80" w:after="80" w:line="276"/>
      </w:pPr>
      <w:r>
        <w:rPr>
          <w:rFonts w:ascii="Arial" w:cs="Arial" w:eastAsia="Arial" w:hAnsi="Arial"/>
          <w:color w:val="1A1A2E"/>
          <w:sz w:val="20"/>
          <w:szCs w:val="20"/>
        </w:rPr>
        <w:t xml:space="preserve">Locked tokens become non-transferable and are removed from liquid supply for the duration of the lock period. veMNE positions serve exclusively for governance weight enhancement and do not generate yield, revenue, or financial returns of any kind.</w:t>
      </w:r>
    </w:p>
    <w:p>
      <w:pPr>
        <w:spacing w:before="80" w:after="80" w:line="276"/>
      </w:pPr>
      <w:r>
        <w:rPr>
          <w:rFonts w:ascii="Arial" w:cs="Arial" w:eastAsia="Arial" w:hAnsi="Arial"/>
          <w:color w:val="1A1A2E"/>
          <w:sz w:val="20"/>
          <w:szCs w:val="20"/>
        </w:rPr>
        <w:t xml:space="preserve">veMNE positions are non-transferable and cannot be used as collateral, wrapped, or tokenized into secondary instruments. Lock durations are enforced at the contract level and cannot be shortened after commitment.</w:t>
      </w:r>
    </w:p>
    <w:p>
      <w:pPr>
        <w:spacing w:before="280" w:after="120"/>
      </w:pPr>
      <w:r>
        <w:rPr>
          <w:rFonts w:ascii="Arial" w:cs="Arial" w:eastAsia="Arial" w:hAnsi="Arial"/>
          <w:b/>
          <w:bCs/>
          <w:color w:val="16213E"/>
          <w:sz w:val="22"/>
          <w:szCs w:val="22"/>
        </w:rPr>
        <w:t xml:space="preserve">5.4 Governance Security</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Timelock Controls:</w:t>
      </w:r>
      <w:r>
        <w:rPr>
          <w:rFonts w:ascii="Arial" w:cs="Arial" w:eastAsia="Arial" w:hAnsi="Arial"/>
          <w:color w:val="1A1A2E"/>
          <w:sz w:val="20"/>
          <w:szCs w:val="20"/>
        </w:rPr>
        <w:t xml:space="preserve"> All approved governance actions are subject to a 48-hour minimum execution delay.</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Multisig Treasury:</w:t>
      </w:r>
      <w:r>
        <w:rPr>
          <w:rFonts w:ascii="Arial" w:cs="Arial" w:eastAsia="Arial" w:hAnsi="Arial"/>
          <w:color w:val="1A1A2E"/>
          <w:sz w:val="20"/>
          <w:szCs w:val="20"/>
        </w:rPr>
        <w:t xml:space="preserve"> Treasury operations require 4-of-7 multi-signature approval.</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DAO Override:</w:t>
      </w:r>
      <w:r>
        <w:rPr>
          <w:rFonts w:ascii="Arial" w:cs="Arial" w:eastAsia="Arial" w:hAnsi="Arial"/>
          <w:color w:val="1A1A2E"/>
          <w:sz w:val="20"/>
          <w:szCs w:val="20"/>
        </w:rPr>
        <w:t xml:space="preserve"> Ultimate governance authority remains with MNE token holders at all times.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Immutable Vesting:</w:t>
      </w:r>
      <w:r>
        <w:rPr>
          <w:rFonts w:ascii="Arial" w:cs="Arial" w:eastAsia="Arial" w:hAnsi="Arial"/>
          <w:color w:val="1A1A2E"/>
          <w:sz w:val="20"/>
          <w:szCs w:val="20"/>
        </w:rPr>
        <w:t xml:space="preserve"> Core vesting contracts are non-upgradeable for fixed categories, ensuring schedule integrity independent of governance decisions.</w:t>
      </w:r>
    </w:p>
    <w:p>
      <w:pPr>
        <w:spacing w:before="280" w:after="120"/>
      </w:pPr>
      <w:r>
        <w:rPr>
          <w:rFonts w:ascii="Arial" w:cs="Arial" w:eastAsia="Arial" w:hAnsi="Arial"/>
          <w:b/>
          <w:bCs/>
          <w:color w:val="16213E"/>
          <w:sz w:val="22"/>
          <w:szCs w:val="22"/>
        </w:rPr>
        <w:t xml:space="preserve">5.5 Governance Activation</w:t>
      </w:r>
    </w:p>
    <w:p>
      <w:pPr>
        <w:spacing w:before="80" w:after="80" w:line="276"/>
      </w:pPr>
      <w:r>
        <w:rPr>
          <w:rFonts w:ascii="Arial" w:cs="Arial" w:eastAsia="Arial" w:hAnsi="Arial"/>
          <w:color w:val="1A1A2E"/>
          <w:sz w:val="20"/>
          <w:szCs w:val="20"/>
        </w:rPr>
        <w:t xml:space="preserve">Governance authority activates at TGE. During an initial stabilization period (estimated at 90 days post-TGE), the Foundation operates under delegated authority from the DAO’s inaugural governance resolution, which establishes initial parameters and Foundation reporting obligations. Full community governance — including proposal submission by any qualifying token holder — commences upon expiry of the stabilization period or earlier by Foundation determination.</w:t>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6. Governance Boundaries &amp; Token Classification</w:t>
      </w:r>
    </w:p>
    <w:p>
      <w:pPr>
        <w:spacing w:before="80" w:after="80" w:line="276"/>
      </w:pPr>
      <w:r>
        <w:rPr>
          <w:rFonts w:ascii="Arial" w:cs="Arial" w:eastAsia="Arial" w:hAnsi="Arial"/>
          <w:color w:val="1A1A2E"/>
          <w:sz w:val="20"/>
          <w:szCs w:val="20"/>
        </w:rPr>
        <w:t xml:space="preserve">MNE is classified exclusively as a governance token. Governance authority is limited to the adjustable allocation category and defined protocol parameters.</w:t>
      </w:r>
    </w:p>
    <w:p>
      <w:pPr>
        <w:spacing w:before="80" w:after="80" w:line="276"/>
      </w:pPr>
      <w:r>
        <w:rPr>
          <w:rFonts w:ascii="Arial" w:cs="Arial" w:eastAsia="Arial" w:hAnsi="Arial"/>
          <w:color w:val="1A1A2E"/>
          <w:sz w:val="20"/>
          <w:szCs w:val="20"/>
        </w:rPr>
        <w:t xml:space="preserve">MNE does not confer and cannot be used to obtain:</w:t>
      </w:r>
    </w:p>
    <w:p>
      <w:pPr>
        <w:pStyle w:val="ListParagraph"/>
        <w:numPr>
          <w:ilvl w:val="0"/>
          <w:numId w:val="2"/>
        </w:numPr>
        <w:spacing w:before="40" w:after="40" w:line="276"/>
      </w:pPr>
      <w:r>
        <w:rPr>
          <w:rFonts w:ascii="Arial" w:cs="Arial" w:eastAsia="Arial" w:hAnsi="Arial"/>
          <w:color w:val="1A1A2E"/>
          <w:sz w:val="20"/>
          <w:szCs w:val="20"/>
        </w:rPr>
        <w:t xml:space="preserve">Revenue rights or fee entitlements</w:t>
      </w:r>
    </w:p>
    <w:p>
      <w:pPr>
        <w:pStyle w:val="ListParagraph"/>
        <w:numPr>
          <w:ilvl w:val="0"/>
          <w:numId w:val="2"/>
        </w:numPr>
        <w:spacing w:before="40" w:after="40" w:line="276"/>
      </w:pPr>
      <w:r>
        <w:rPr>
          <w:rFonts w:ascii="Arial" w:cs="Arial" w:eastAsia="Arial" w:hAnsi="Arial"/>
          <w:color w:val="1A1A2E"/>
          <w:sz w:val="20"/>
          <w:szCs w:val="20"/>
        </w:rPr>
        <w:t xml:space="preserve">Yield generation or staking rewards</w:t>
      </w:r>
    </w:p>
    <w:p>
      <w:pPr>
        <w:pStyle w:val="ListParagraph"/>
        <w:numPr>
          <w:ilvl w:val="0"/>
          <w:numId w:val="2"/>
        </w:numPr>
        <w:spacing w:before="40" w:after="40" w:line="276"/>
      </w:pPr>
      <w:r>
        <w:rPr>
          <w:rFonts w:ascii="Arial" w:cs="Arial" w:eastAsia="Arial" w:hAnsi="Arial"/>
          <w:color w:val="1A1A2E"/>
          <w:sz w:val="20"/>
          <w:szCs w:val="20"/>
        </w:rPr>
        <w:t xml:space="preserve">Profit participation or dividend equivalents</w:t>
      </w:r>
    </w:p>
    <w:p>
      <w:pPr>
        <w:pStyle w:val="ListParagraph"/>
        <w:numPr>
          <w:ilvl w:val="0"/>
          <w:numId w:val="2"/>
        </w:numPr>
        <w:spacing w:before="40" w:after="40" w:line="276"/>
      </w:pPr>
      <w:r>
        <w:rPr>
          <w:rFonts w:ascii="Arial" w:cs="Arial" w:eastAsia="Arial" w:hAnsi="Arial"/>
          <w:color w:val="1A1A2E"/>
          <w:sz w:val="20"/>
          <w:szCs w:val="20"/>
        </w:rPr>
        <w:t xml:space="preserve">Equity, debt, or any security interest</w:t>
      </w:r>
    </w:p>
    <w:p>
      <w:pPr>
        <w:pStyle w:val="ListParagraph"/>
        <w:numPr>
          <w:ilvl w:val="0"/>
          <w:numId w:val="2"/>
        </w:numPr>
        <w:spacing w:before="40" w:after="40" w:line="276"/>
      </w:pPr>
      <w:r>
        <w:rPr>
          <w:rFonts w:ascii="Arial" w:cs="Arial" w:eastAsia="Arial" w:hAnsi="Arial"/>
          <w:color w:val="1A1A2E"/>
          <w:sz w:val="20"/>
          <w:szCs w:val="20"/>
        </w:rPr>
        <w:t xml:space="preserve">Authority over immutable vesting schedules</w:t>
      </w:r>
    </w:p>
    <w:p>
      <w:pPr>
        <w:pStyle w:val="ListParagraph"/>
        <w:numPr>
          <w:ilvl w:val="0"/>
          <w:numId w:val="2"/>
        </w:numPr>
        <w:spacing w:before="40" w:after="40" w:line="276"/>
      </w:pPr>
      <w:r>
        <w:rPr>
          <w:rFonts w:ascii="Arial" w:cs="Arial" w:eastAsia="Arial" w:hAnsi="Arial"/>
          <w:color w:val="1A1A2E"/>
          <w:sz w:val="20"/>
          <w:szCs w:val="20"/>
        </w:rPr>
        <w:t xml:space="preserve">Authority to modify the total fixed supply of 7,000,000,000 MNE</w:t>
      </w:r>
    </w:p>
    <w:p>
      <w:pPr>
        <w:spacing w:before="80" w:after="80" w:line="276"/>
      </w:pPr>
      <w:r>
        <w:rPr>
          <w:rFonts w:ascii="Arial" w:cs="Arial" w:eastAsia="Arial" w:hAnsi="Arial"/>
          <w:color w:val="1A1A2E"/>
          <w:sz w:val="20"/>
          <w:szCs w:val="20"/>
        </w:rPr>
        <w:t xml:space="preserve">No governance proposal, regardless of approval level, may alter the total token supply, convert MNE into a revenue-bearing instrument, or modify immutable vesting schedules. These boundaries are structural and exist at the smart contract level.</w:t>
      </w:r>
    </w:p>
    <w:p>
      <w:pPr>
        <w:spacing w:before="80" w:after="8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Token classification: Governance token only.</w:t>
      </w:r>
      <w:r>
        <w:rPr>
          <w:rFonts w:ascii="Arial" w:cs="Arial" w:eastAsia="Arial" w:hAnsi="Arial"/>
          <w:color w:val="1A1A2E"/>
          <w:sz w:val="20"/>
          <w:szCs w:val="20"/>
        </w:rPr>
        <w:t xml:space="preserve"/>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7. Compliance &amp; Risk</w:t>
      </w:r>
    </w:p>
    <w:p>
      <w:pPr>
        <w:spacing w:before="280" w:after="120"/>
      </w:pPr>
      <w:r>
        <w:rPr>
          <w:rFonts w:ascii="Arial" w:cs="Arial" w:eastAsia="Arial" w:hAnsi="Arial"/>
          <w:b/>
          <w:bCs/>
          <w:color w:val="16213E"/>
          <w:sz w:val="22"/>
          <w:szCs w:val="22"/>
        </w:rPr>
        <w:t xml:space="preserve">7.1 Regulatory Classification</w:t>
      </w:r>
    </w:p>
    <w:p>
      <w:pPr>
        <w:spacing w:before="80" w:after="80" w:line="276"/>
      </w:pPr>
      <w:r>
        <w:rPr>
          <w:rFonts w:ascii="Arial" w:cs="Arial" w:eastAsia="Arial" w:hAnsi="Arial"/>
          <w:color w:val="1A1A2E"/>
          <w:sz w:val="20"/>
          <w:szCs w:val="20"/>
        </w:rPr>
        <w:t xml:space="preserve">MNE functions as a governance token without investment characteristics. The token does not represent equity, debt, revenue rights, or profit participation in any entity. All utility derives exclusively from governance participation within the Monee ecosystem.</w:t>
      </w:r>
    </w:p>
    <w:p>
      <w:pPr>
        <w:spacing w:before="280" w:after="120"/>
      </w:pPr>
      <w:r>
        <w:rPr>
          <w:rFonts w:ascii="Arial" w:cs="Arial" w:eastAsia="Arial" w:hAnsi="Arial"/>
          <w:b/>
          <w:bCs/>
          <w:color w:val="16213E"/>
          <w:sz w:val="22"/>
          <w:szCs w:val="22"/>
        </w:rPr>
        <w:t xml:space="preserve">7.2 Risk Factors</w:t>
      </w:r>
    </w:p>
    <w:p>
      <w:pPr>
        <w:spacing w:before="80" w:after="80" w:line="276"/>
      </w:pPr>
      <w:r>
        <w:rPr>
          <w:rFonts w:ascii="Arial" w:cs="Arial" w:eastAsia="Arial" w:hAnsi="Arial"/>
          <w:color w:val="1A1A2E"/>
          <w:sz w:val="20"/>
          <w:szCs w:val="20"/>
        </w:rPr>
        <w:t xml:space="preserve">Participation in any token ecosystem involves inherent risks. The following risk categories are relevant to MNE:</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Technical Risks:</w:t>
      </w:r>
      <w:r>
        <w:rPr>
          <w:rFonts w:ascii="Arial" w:cs="Arial" w:eastAsia="Arial" w:hAnsi="Arial"/>
          <w:color w:val="1A1A2E"/>
          <w:sz w:val="20"/>
          <w:szCs w:val="20"/>
        </w:rPr>
        <w:t xml:space="preserve"> Smart contract vulnerabilities, dependencies on underlying blockchain infrastructure, and evolving security considerations.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Governance Risks:</w:t>
      </w:r>
      <w:r>
        <w:rPr>
          <w:rFonts w:ascii="Arial" w:cs="Arial" w:eastAsia="Arial" w:hAnsi="Arial"/>
          <w:color w:val="1A1A2E"/>
          <w:sz w:val="20"/>
          <w:szCs w:val="20"/>
        </w:rPr>
        <w:t xml:space="preserve"> Participation concentration, voter coordination challenges, and the inherent limitations of decentralized decision-making.</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Market Risks:</w:t>
      </w:r>
      <w:r>
        <w:rPr>
          <w:rFonts w:ascii="Arial" w:cs="Arial" w:eastAsia="Arial" w:hAnsi="Arial"/>
          <w:color w:val="1A1A2E"/>
          <w:sz w:val="20"/>
          <w:szCs w:val="20"/>
        </w:rPr>
        <w:t xml:space="preserve"> Token liquidity, exchange availability, and the impact of evolving regulatory frameworks across jurisdictions.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Operational Risks:</w:t>
      </w:r>
      <w:r>
        <w:rPr>
          <w:rFonts w:ascii="Arial" w:cs="Arial" w:eastAsia="Arial" w:hAnsi="Arial"/>
          <w:color w:val="1A1A2E"/>
          <w:sz w:val="20"/>
          <w:szCs w:val="20"/>
        </w:rPr>
        <w:t xml:space="preserve"> Foundation execution capacity, multi-signature security, and key person dependencies.</w:t>
      </w:r>
    </w:p>
    <w:p>
      <w:pPr>
        <w:spacing w:before="280" w:after="120"/>
      </w:pPr>
      <w:r>
        <w:rPr>
          <w:rFonts w:ascii="Arial" w:cs="Arial" w:eastAsia="Arial" w:hAnsi="Arial"/>
          <w:b/>
          <w:bCs/>
          <w:color w:val="16213E"/>
          <w:sz w:val="22"/>
          <w:szCs w:val="22"/>
        </w:rPr>
        <w:t xml:space="preserve">7.3 Compliance Framework</w:t>
      </w:r>
    </w:p>
    <w:p>
      <w:pPr>
        <w:spacing w:before="80" w:after="80" w:line="276"/>
      </w:pPr>
      <w:r>
        <w:rPr>
          <w:rFonts w:ascii="Arial" w:cs="Arial" w:eastAsia="Arial" w:hAnsi="Arial"/>
          <w:color w:val="1A1A2E"/>
          <w:sz w:val="20"/>
          <w:szCs w:val="20"/>
        </w:rPr>
        <w:t xml:space="preserve">Token distribution is conducted in compliance with applicable securities, financial services, and digital asset regulations across relevant jurisdictions. The Foundation engages independent legal counsel to ensure ongoing compliance and will publish a jurisdiction-specific eligibility framework prior to any public distribution event.</w:t>
      </w:r>
    </w:p>
    <w:p>
      <w:pPr>
        <w:spacing w:before="80" w:after="80" w:line="276"/>
      </w:pPr>
      <w:r>
        <w:rPr>
          <w:rFonts w:ascii="Arial" w:cs="Arial" w:eastAsia="Arial" w:hAnsi="Arial"/>
          <w:color w:val="1A1A2E"/>
          <w:sz w:val="20"/>
          <w:szCs w:val="20"/>
        </w:rPr>
        <w:t xml:space="preserve">Participants in private distribution events are subject to KYC/AML verification and accreditation requirements as determined by applicable law and Foundation compliance policy.</w:t>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8. Design Philosophy</w:t>
      </w:r>
    </w:p>
    <w:p>
      <w:pPr>
        <w:spacing w:before="80" w:after="80" w:line="276"/>
      </w:pPr>
      <w:r>
        <w:rPr>
          <w:rFonts w:ascii="Arial" w:cs="Arial" w:eastAsia="Arial" w:hAnsi="Arial"/>
          <w:color w:val="1A1A2E"/>
          <w:sz w:val="20"/>
          <w:szCs w:val="20"/>
        </w:rPr>
        <w:t xml:space="preserve">The MNE governance framework is designed around four principles: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Decentralization:</w:t>
      </w:r>
      <w:r>
        <w:rPr>
          <w:rFonts w:ascii="Arial" w:cs="Arial" w:eastAsia="Arial" w:hAnsi="Arial"/>
          <w:color w:val="1A1A2E"/>
          <w:sz w:val="20"/>
          <w:szCs w:val="20"/>
        </w:rPr>
        <w:t xml:space="preserve"> The majority of total token supply is allocated to ecosystem development and community participation, ensuring that governance authority is distributed broadly rather than concentrated among founders or investors.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Predictability:</w:t>
      </w:r>
      <w:r>
        <w:rPr>
          <w:rFonts w:ascii="Arial" w:cs="Arial" w:eastAsia="Arial" w:hAnsi="Arial"/>
          <w:color w:val="1A1A2E"/>
          <w:sz w:val="20"/>
          <w:szCs w:val="20"/>
        </w:rPr>
        <w:t xml:space="preserve"> Immutable vesting schedules for 47% of total supply provide all stakeholders with certainty regarding token distribution timelines, independent of governance outcomes.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Accountability:</w:t>
      </w:r>
      <w:r>
        <w:rPr>
          <w:rFonts w:ascii="Arial" w:cs="Arial" w:eastAsia="Arial" w:hAnsi="Arial"/>
          <w:color w:val="1A1A2E"/>
          <w:sz w:val="20"/>
          <w:szCs w:val="20"/>
        </w:rPr>
        <w:t xml:space="preserve"> The Foundation operates as a fiduciary executor of DAO decisions, not as an independent authority. Its charter defines obligations, constraints, and removal procedures that ensure ongoing accountability to token holders.</w:t>
      </w:r>
    </w:p>
    <w:p>
      <w:pPr>
        <w:pStyle w:val="ListParagraph"/>
        <w:numPr>
          <w:ilvl w:val="0"/>
          <w:numId w:val="2"/>
        </w:numPr>
        <w:spacing w:before="40" w:after="40" w:line="276"/>
      </w:pPr>
      <w:r>
        <w:rPr>
          <w:rFonts w:ascii="Arial" w:cs="Arial" w:eastAsia="Arial" w:hAnsi="Arial"/>
          <w:color w:val="1A1A2E"/>
          <w:sz w:val="20"/>
          <w:szCs w:val="20"/>
        </w:rPr>
        <w:t xml:space="preserve"/>
      </w:r>
      <w:r>
        <w:rPr>
          <w:rFonts w:ascii="Arial" w:cs="Arial" w:eastAsia="Arial" w:hAnsi="Arial"/>
          <w:b/>
          <w:bCs/>
          <w:color w:val="1A1A2E"/>
          <w:sz w:val="20"/>
          <w:szCs w:val="20"/>
        </w:rPr>
        <w:t xml:space="preserve">Regulatory Discipline:</w:t>
      </w:r>
      <w:r>
        <w:rPr>
          <w:rFonts w:ascii="Arial" w:cs="Arial" w:eastAsia="Arial" w:hAnsi="Arial"/>
          <w:color w:val="1A1A2E"/>
          <w:sz w:val="20"/>
          <w:szCs w:val="20"/>
        </w:rPr>
        <w:t xml:space="preserve"> MNE is designed from inception as a governance-only instrument with no financial rights, revenue characteristics, or investment features. This classification is structural and enforced at the contract level.</w:t>
      </w:r>
    </w:p>
    <w:p>
      <w:pPr>
        <w:spacing w:before="80" w:after="80" w:line="276"/>
      </w:pPr>
      <w:r>
        <w:rPr>
          <w:rFonts w:ascii="Arial" w:cs="Arial" w:eastAsia="Arial" w:hAnsi="Arial"/>
          <w:color w:val="1A1A2E"/>
          <w:sz w:val="20"/>
          <w:szCs w:val="20"/>
        </w:rPr>
        <w:t xml:space="preserve">The framework prioritizes sustainable decentralization, regulatory compliance, and institutional compatibility while maintaining community sovereignty over protocol evolution.</w:t>
      </w:r>
    </w:p>
    <w:p>
      <w:pPr>
        <w:pBdr>
          <w:bottom w:val="single" w:color="3A506B" w:sz="2" w:space="1"/>
        </w:pBdr>
        <w:spacing w:before="200" w:after="200"/>
      </w:pPr>
    </w:p>
    <w:p>
      <w:pPr>
        <w:spacing w:before="360" w:after="160"/>
      </w:pPr>
      <w:r>
        <w:rPr>
          <w:rFonts w:ascii="Arial" w:cs="Arial" w:eastAsia="Arial" w:hAnsi="Arial"/>
          <w:b/>
          <w:bCs/>
          <w:color w:val="16213E"/>
          <w:sz w:val="26"/>
          <w:szCs w:val="26"/>
        </w:rPr>
        <w:t xml:space="preserve">Important Notices</w:t>
      </w:r>
    </w:p>
    <w:p>
      <w:pPr>
        <w:spacing w:before="80" w:after="80" w:line="276"/>
      </w:pPr>
      <w:r>
        <w:rPr>
          <w:rFonts w:ascii="Arial" w:cs="Arial" w:eastAsia="Arial" w:hAnsi="Arial"/>
          <w:color w:val="1A1A2E"/>
          <w:sz w:val="20"/>
          <w:szCs w:val="20"/>
        </w:rPr>
        <w:t xml:space="preserve">This document is provided for general informational purposes only. It does not constitute an offer, solicitation, or recommendation to purchase, sell, or hold any digital asset, security, or financial instrument.</w:t>
      </w:r>
    </w:p>
    <w:p>
      <w:pPr>
        <w:spacing w:before="80" w:after="80" w:line="276"/>
      </w:pPr>
      <w:r>
        <w:rPr>
          <w:rFonts w:ascii="Arial" w:cs="Arial" w:eastAsia="Arial" w:hAnsi="Arial"/>
          <w:color w:val="1A1A2E"/>
          <w:sz w:val="20"/>
          <w:szCs w:val="20"/>
        </w:rPr>
        <w:t xml:space="preserve">Nothing in this document should be construed as legal, financial, tax, or investment advice. Prospective participants should consult their own legal, financial, and tax advisors before making any decisions related to digital assets.</w:t>
      </w:r>
    </w:p>
    <w:p>
      <w:pPr>
        <w:spacing w:before="80" w:after="80" w:line="276"/>
      </w:pPr>
      <w:r>
        <w:rPr>
          <w:rFonts w:ascii="Arial" w:cs="Arial" w:eastAsia="Arial" w:hAnsi="Arial"/>
          <w:color w:val="1A1A2E"/>
          <w:sz w:val="20"/>
          <w:szCs w:val="20"/>
        </w:rPr>
        <w:t xml:space="preserve">The information contained herein is subject to change without notice. Forward-looking statements, if any, reflect current expectations and are subject to risks and uncertainties that could cause actual outcomes to differ materially.</w:t>
      </w:r>
    </w:p>
    <w:p>
      <w:pPr>
        <w:spacing w:before="80" w:after="80" w:line="276"/>
      </w:pPr>
      <w:r>
        <w:rPr>
          <w:rFonts w:ascii="Arial" w:cs="Arial" w:eastAsia="Arial" w:hAnsi="Arial"/>
          <w:color w:val="1A1A2E"/>
          <w:sz w:val="20"/>
          <w:szCs w:val="20"/>
        </w:rPr>
        <w:t xml:space="preserve">MNE tokens are governance tokens only. They do not represent equity, debt, revenue rights, profit participation, or any other financial interest in any entity.</w:t>
      </w:r>
    </w:p>
    <w:p>
      <w:pPr>
        <w:pBdr>
          <w:bottom w:val="single" w:color="3A506B" w:sz="2" w:space="1"/>
        </w:pBdr>
        <w:spacing w:before="200" w:after="200"/>
      </w:pPr>
    </w:p>
    <w:p>
      <w:pPr>
        <w:spacing w:before="160" w:after="160"/>
      </w:pPr>
    </w:p>
    <w:p>
      <w:pPr>
        <w:spacing w:before="60" w:after="60" w:line="260"/>
      </w:pPr>
      <w:r>
        <w:rPr>
          <w:rFonts w:ascii="Arial" w:cs="Arial" w:eastAsia="Arial" w:hAnsi="Arial"/>
          <w:color w:val="666666"/>
          <w:sz w:val="18"/>
          <w:szCs w:val="18"/>
        </w:rPr>
        <w:t xml:space="preserve">Document Classification: Public</w:t>
      </w:r>
    </w:p>
    <w:p>
      <w:pPr>
        <w:spacing w:before="60" w:after="60" w:line="260"/>
      </w:pPr>
      <w:r>
        <w:rPr>
          <w:rFonts w:ascii="Arial" w:cs="Arial" w:eastAsia="Arial" w:hAnsi="Arial"/>
          <w:color w:val="666666"/>
          <w:sz w:val="18"/>
          <w:szCs w:val="18"/>
        </w:rPr>
        <w:t xml:space="preserve">Date: February 2026</w:t>
      </w:r>
    </w:p>
    <w:p>
      <w:pPr>
        <w:spacing w:before="60" w:after="60" w:line="260"/>
      </w:pPr>
      <w:r>
        <w:rPr>
          <w:rFonts w:ascii="Arial" w:cs="Arial" w:eastAsia="Arial" w:hAnsi="Arial"/>
          <w:color w:val="666666"/>
          <w:sz w:val="18"/>
          <w:szCs w:val="18"/>
        </w:rPr>
        <w:t xml:space="preserve">Total Supply: 7,000,000,000 MNE (fixed, non-inflationary)</w:t>
      </w:r>
    </w:p>
    <w:p>
      <w:pPr>
        <w:spacing w:before="60" w:after="60" w:line="260"/>
      </w:pPr>
      <w:r>
        <w:rPr>
          <w:rFonts w:ascii="Arial" w:cs="Arial" w:eastAsia="Arial" w:hAnsi="Arial"/>
          <w:color w:val="666666"/>
          <w:sz w:val="18"/>
          <w:szCs w:val="18"/>
        </w:rPr>
        <w:t xml:space="preserve">Contract Standard: ERC-20 (Ethereum L1)</w:t>
      </w:r>
    </w:p>
    <w:p>
      <w:pPr>
        <w:spacing w:before="60" w:after="60" w:line="260"/>
      </w:pPr>
      <w:r>
        <w:rPr>
          <w:rFonts w:ascii="Arial" w:cs="Arial" w:eastAsia="Arial" w:hAnsi="Arial"/>
          <w:color w:val="666666"/>
          <w:sz w:val="18"/>
          <w:szCs w:val="18"/>
        </w:rPr>
        <w:t xml:space="preserve">Token Classification: Governance Token Only</w:t>
      </w:r>
    </w:p>
    <w:p>
      <w:pPr>
        <w:spacing w:before="60" w:after="60" w:line="260"/>
      </w:pPr>
      <w:r>
        <w:rPr>
          <w:rFonts w:ascii="Arial" w:cs="Arial" w:eastAsia="Arial" w:hAnsi="Arial"/>
          <w:color w:val="666666"/>
          <w:sz w:val="18"/>
          <w:szCs w:val="18"/>
        </w:rPr>
        <w:t xml:space="preserve">Governance Model: DAO with Foundation Execution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MNE Token — Governance &amp; Token Framework Overview (Public)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2026-02-07T00:54:32.156Z</dcterms:created>
  <dcterms:modified xsi:type="dcterms:W3CDTF">2026-02-07T00:54:32.157Z</dcterms:modified>
</cp:coreProperties>
</file>

<file path=docProps/custom.xml><?xml version="1.0" encoding="utf-8"?>
<Properties xmlns="http://schemas.openxmlformats.org/officeDocument/2006/custom-properties" xmlns:vt="http://schemas.openxmlformats.org/officeDocument/2006/docPropsVTypes"/>
</file>