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ResearchMind AI</w:t>
      </w:r>
    </w:p>
    <w:p>
      <w:pPr>
        <w:pStyle w:val="Heading2"/>
      </w:pPr>
      <w:r>
        <w:t>ResearchMind_Summary</w:t>
      </w:r>
    </w:p>
    <w:p>
      <w:r>
        <w:t>Generated on 22 July 2026, 10:50 AM</w:t>
      </w:r>
    </w:p>
    <w:p/>
    <w:p>
      <w:pPr>
        <w:pStyle w:val="Heading2"/>
      </w:pPr>
      <w:r>
        <w:t>Executive Summary</w:t>
      </w:r>
    </w:p>
    <w:p>
      <w:r>
        <w:rPr>
          <w:sz w:val="22"/>
        </w:rPr>
        <w:t>This document provides a comprehensive summary of the Central Board of Secondary Education (CBSE) curriculum for **Artificial Intelligence (Subject Code 417) for Class X (Academic Session 2026-2027)**. Designed by the Department of Skill Education, India, this curriculum represents a progressive pedagogical framework aimed at building "AI-Readiness" among secondary school students.</w:t>
      </w:r>
    </w:p>
    <w:p>
      <w:r>
        <w:rPr>
          <w:sz w:val="22"/>
        </w:rPr>
        <w:t>The course balances foundational theory with extensive practical application, allocating 100 total marks split equally between Theory (50 marks) and Practical/Project Work (50 marks) over a 210-hour instructional cycle. By integrating technical skills (Python, Computer Vision, Natural Language Processing) with critical employability skills and ethical frameworks, the curriculum prepares students for the future of work while emphasizing social responsibility and sustainable development.</w:t>
      </w:r>
    </w:p>
    <w:p>
      <w:r>
        <w:rPr>
          <w:sz w:val="22"/>
        </w:rPr>
        <w:t>---</w:t>
      </w:r>
    </w:p>
    <w:p>
      <w:pPr>
        <w:pStyle w:val="Heading2"/>
      </w:pPr>
      <w:r>
        <w:t>Research Objective</w:t>
      </w:r>
    </w:p>
    <w:p>
      <w:r>
        <w:rPr>
          <w:sz w:val="22"/>
        </w:rPr>
        <w:t>The primary objective of this curriculum framework is to develop a comprehensive readiness for understanding, appreciating, and applying Artificial Intelligence in daily life. Specifically, the curriculum aims to:</w:t>
      </w:r>
    </w:p>
    <w:p>
      <w:r>
        <w:rPr>
          <w:sz w:val="22"/>
        </w:rPr>
        <w:t>1. **Demystify AI:** Introduce students to the three core domains of AI (Data, Computer Vision, and Natural Language Processing) through interactive, multi-sensorial, and gamified learning.</w:t>
      </w:r>
    </w:p>
    <w:p>
      <w:r>
        <w:rPr>
          <w:sz w:val="22"/>
        </w:rPr>
        <w:t>2. **Build Technical Competency:** Equip students with basic-to-advanced Python programming skills, data visualization capabilities, and model evaluation techniques.</w:t>
      </w:r>
    </w:p>
    <w:p>
      <w:r>
        <w:rPr>
          <w:sz w:val="22"/>
        </w:rPr>
        <w:t>3. **Foster Ethical and Social Awareness:** Instill an understanding of AI bias, access, and ethical frameworks (such as Bioethics), while empowering students to design AI-driven solutions that address United Nations Sustainable Development Goals (SDGs).</w:t>
      </w:r>
    </w:p>
    <w:p>
      <w:r>
        <w:rPr>
          <w:sz w:val="22"/>
        </w:rPr>
        <w:t>4. **Enhance Employability:** Combine technical training with core vocational competencies, including communication, self-management, ICT, entrepreneurial, and green skills.</w:t>
      </w:r>
    </w:p>
    <w:p>
      <w:r>
        <w:rPr>
          <w:sz w:val="22"/>
        </w:rPr>
        <w:t>---</w:t>
      </w:r>
    </w:p>
    <w:p>
      <w:pPr>
        <w:pStyle w:val="Heading2"/>
      </w:pPr>
      <w:r>
        <w:t>Methodology</w:t>
      </w:r>
    </w:p>
    <w:p>
      <w:r>
        <w:rPr>
          <w:sz w:val="22"/>
        </w:rPr>
        <w:t>The curriculum employs a hybrid pedagogical methodology that combines theoretical instruction, hands-on laboratory work, gamified learning, and project-based assessments.</w:t>
      </w:r>
    </w:p>
    <w:p>
      <w:pPr>
        <w:pStyle w:val="Heading2"/>
      </w:pPr>
      <w:r>
        <w:t>1. Structural Distribution (Scheme of Studies)</w:t>
      </w:r>
    </w:p>
    <w:p>
      <w:r>
        <w:rPr>
          <w:sz w:val="22"/>
        </w:rPr>
        <w:t>The course is structured into three distinct parts spanning **210 instructional hours**:</w:t>
      </w:r>
    </w:p>
    <w:p>
      <w:r>
        <w:rPr>
          <w:sz w:val="22"/>
        </w:rPr>
        <w:t>* **Part A: Employability Skills (50 Hours | 10 Marks):** Covers soft skills and foundational business competencies (Communication, Self-Management, ICT, Entrepreneurial, and Green Skills).</w:t>
      </w:r>
    </w:p>
    <w:p>
      <w:r>
        <w:rPr>
          <w:sz w:val="22"/>
        </w:rPr>
        <w:t>* **Part B: Subject Specific Skills (160 Hours | 40 Marks):** Focuses on core AI concepts, modeling, evaluation, and domain-specific applications.</w:t>
      </w:r>
    </w:p>
    <w:p>
      <w:r>
        <w:rPr>
          <w:sz w:val="22"/>
        </w:rPr>
        <w:t>* **Part C: Practical &amp; Project Work (50 Marks):** Requires a practical file (minimum 15 Python programs), a practical examination, a viva voce, and a student portfolio or project work.</w:t>
      </w:r>
    </w:p>
    <w:p>
      <w:pPr>
        <w:pStyle w:val="Heading2"/>
      </w:pPr>
      <w:r>
        <w:t>2. Pedagogical Tools and Platforms</w:t>
      </w:r>
    </w:p>
    <w:p>
      <w:r>
        <w:rPr>
          <w:sz w:val="22"/>
        </w:rPr>
        <w:t>The curriculum utilizes a "low-code/no-code to pro-code" scaffolding methodology:</w:t>
      </w:r>
    </w:p>
    <w:p>
      <w:r>
        <w:rPr>
          <w:sz w:val="22"/>
        </w:rPr>
        <w:t>* **No-Code/Low-Code Tools:** Orange Data Mining, Google Teachable Machine, Lobe AI, and TensorFlow Playground are used to teach complex concepts (like neural networks, classification, and sentiment analysis) without syntax barriers.</w:t>
      </w:r>
    </w:p>
    <w:p>
      <w:r>
        <w:rPr>
          <w:sz w:val="22"/>
        </w:rPr>
        <w:t>* **Pro-Code Tools:** Python (via Anaconda/Jupyter Notebooks) and libraries like NumPy and Matplotlib are introduced for data manipulation, statistical analysis, and visualization.</w:t>
      </w:r>
    </w:p>
    <w:p>
      <w:r>
        <w:rPr>
          <w:sz w:val="22"/>
        </w:rPr>
        <w:t>* **Gamification:** Platforms like Emoji Scavenger Hunt, PiskelApp, and interactive chatbots (Elizabot, Kuki AI) are integrated to maintain high student engagement.</w:t>
      </w:r>
    </w:p>
    <w:p>
      <w:r>
        <w:rPr>
          <w:sz w:val="22"/>
        </w:rPr>
        <w:t>---</w:t>
      </w:r>
    </w:p>
    <w:p>
      <w:pPr>
        <w:pStyle w:val="Heading2"/>
      </w:pPr>
      <w:r>
        <w:t>Key Findings</w:t>
      </w:r>
    </w:p>
    <w:p>
      <w:r>
        <w:rPr>
          <w:sz w:val="22"/>
        </w:rPr>
        <w:t>The curriculum is divided into seven subject-specific units, yielding several key educational focus areas:</w:t>
      </w:r>
    </w:p>
    <w:p>
      <w:r>
        <w:rPr>
          <w:sz w:val="22"/>
        </w:rPr>
        <w:t>* **The AI Project Cycle &amp; Ethics (Unit 1):** Students learn to scope problems, acquire reliable data, and navigate ethical dilemmas. The curriculum introduces specialized frameworks like **Bioethics** to teach real-world ethical decision-making.</w:t>
      </w:r>
    </w:p>
    <w:p>
      <w:r>
        <w:rPr>
          <w:sz w:val="22"/>
        </w:rPr>
        <w:t>* **Advanced Modeling (Unit 2):** Differentiates between AI, Machine Learning (ML), and Deep Learning (DL). It covers supervised (classification, regression), unsupervised (clustering, association), and reinforcement learning, alongside Artificial Neural Networks (ANNs) and Convolutional Neural Networks (CNNs).</w:t>
      </w:r>
    </w:p>
    <w:p>
      <w:r>
        <w:rPr>
          <w:sz w:val="22"/>
        </w:rPr>
        <w:t>* **Model Evaluation (Unit 3):** Students learn how to evaluate model performance using train-test splits, confusion matrices, and metrics such as **Accuracy, Precision, Recall, and F1 Score**, while addressing issues of bias and transparency.</w:t>
      </w:r>
    </w:p>
    <w:p>
      <w:r>
        <w:rPr>
          <w:sz w:val="22"/>
        </w:rPr>
        <w:t>* **Domain-Specific Applications (Units 4, 5, &amp; 6):**</w:t>
      </w:r>
    </w:p>
    <w:p>
      <w:r>
        <w:rPr>
          <w:sz w:val="22"/>
        </w:rPr>
        <w:t>* *Statistical Data:* Taught practically using the Orange Data Mining tool and MS Excel (e.g., Palmer Penguins case study).</w:t>
      </w:r>
    </w:p>
    <w:p>
      <w:r>
        <w:rPr>
          <w:sz w:val="22"/>
        </w:rPr>
        <w:t>* *Computer Vision (CV):* Covers image representation (pixels, RGB, resolution), feature extraction, convolution operators, and CNN architectures.</w:t>
      </w:r>
    </w:p>
    <w:p>
      <w:r>
        <w:rPr>
          <w:sz w:val="22"/>
        </w:rPr>
        <w:t>* *Natural Language Processing (NLP):* Explores text processing (normalization, Bag-of-Words, TF-IDF) and sentiment analysis.</w:t>
      </w:r>
    </w:p>
    <w:p>
      <w:r>
        <w:rPr>
          <w:sz w:val="22"/>
        </w:rPr>
        <w:t>* **Advanced Python (Unit 7 &amp; Practicals):** Focuses on practical coding, including statistical calculations (mean, median, mode using NumPy), data visualization (line and scatter charts), and basic image processing.</w:t>
      </w:r>
    </w:p>
    <w:p>
      <w:r>
        <w:rPr>
          <w:sz w:val="22"/>
        </w:rPr>
        <w:t>---</w:t>
      </w:r>
    </w:p>
    <w:p>
      <w:pPr>
        <w:pStyle w:val="Heading2"/>
      </w:pPr>
      <w:r>
        <w:t>Strengths</w:t>
      </w:r>
    </w:p>
    <w:p>
      <w:r>
        <w:rPr>
          <w:sz w:val="22"/>
        </w:rPr>
        <w:t>* **Holistic Skill Integration:** By combining employability skills (Part A) with technical skills (Part B), the curriculum ensures students develop both the soft skills and hard skills required in the modern workforce.</w:t>
      </w:r>
    </w:p>
    <w:p>
      <w:r>
        <w:rPr>
          <w:sz w:val="22"/>
        </w:rPr>
        <w:t>* **Scaffolded Learning Path:** The transition from gamified, no-code tools (Teachable Machine, Orange) to actual Python programming lowers the barrier to entry, making AI concepts accessible to diverse learning styles.</w:t>
      </w:r>
    </w:p>
    <w:p>
      <w:r>
        <w:rPr>
          <w:sz w:val="22"/>
        </w:rPr>
        <w:t>* **Focus on Ethics and Sustainability:** Integrating ethical frameworks and tying student projects directly to Sustainable Development Goals (SDGs) ensures that technical education is grounded in social responsibility.</w:t>
      </w:r>
    </w:p>
    <w:p>
      <w:r>
        <w:rPr>
          <w:sz w:val="22"/>
        </w:rPr>
        <w:t>* **Clear Infrastructure and Resource Guidelines:** The document provides highly specific hardware requirements (e.g., Intel i5 processor, 8GB RAM, webcam, 2:1 student-to-machine ratio) and teacher qualifications, ensuring standardized implementation across schools.</w:t>
      </w:r>
    </w:p>
    <w:p>
      <w:r>
        <w:rPr>
          <w:sz w:val="22"/>
        </w:rPr>
        <w:t>---</w:t>
      </w:r>
    </w:p>
    <w:p>
      <w:pPr>
        <w:pStyle w:val="Heading2"/>
      </w:pPr>
      <w:r>
        <w:t>Limitations</w:t>
      </w:r>
    </w:p>
    <w:p>
      <w:r>
        <w:rPr>
          <w:sz w:val="22"/>
        </w:rPr>
        <w:t>* **Resource Intensity:** The recommended hardware specifications (Intel i5, 8GB RAM, dedicated VPUs, and high-speed internet) may pose a significant financial barrier for underfunded, rural, or public schools, potentially widening the digital divide.</w:t>
      </w:r>
    </w:p>
    <w:p>
      <w:r>
        <w:rPr>
          <w:sz w:val="22"/>
        </w:rPr>
        <w:t>* **Teacher Availability and Training:** The requirement for teachers with specialized computer science degrees/diplomas and industry experience may lead to recruitment shortages, particularly in semi-urban and rural regions.</w:t>
      </w:r>
    </w:p>
    <w:p>
      <w:r>
        <w:rPr>
          <w:sz w:val="22"/>
        </w:rPr>
        <w:t>* **Rapid Technological Obsolescence:** Because the curriculum is set for the 2026-2027 academic session, some of the specified software tools (e.g., Lobe, specific Google experiments) or libraries may become outdated or unsupported by the time of implementation.</w:t>
      </w:r>
    </w:p>
    <w:p>
      <w:r>
        <w:rPr>
          <w:sz w:val="22"/>
        </w:rPr>
        <w:t>* **Absence of Generative AI:** Despite the massive shift in the technology landscape toward Generative AI and Large Language Models (LLMs), the curriculum remains heavily focused on traditional discriminative AI (classification, regression, basic NLP/CV), missing a crucial contemporary domain.</w:t>
      </w:r>
    </w:p>
    <w:p>
      <w:r>
        <w:rPr>
          <w:sz w:val="22"/>
        </w:rPr>
        <w:t>---</w:t>
      </w:r>
    </w:p>
    <w:p>
      <w:pPr>
        <w:pStyle w:val="Heading2"/>
      </w:pPr>
      <w:r>
        <w:t>Future Work</w:t>
      </w:r>
    </w:p>
    <w:p>
      <w:r>
        <w:rPr>
          <w:sz w:val="22"/>
        </w:rPr>
        <w:t>To enhance future iterations of this curriculum, educational policymakers should consider the following:</w:t>
      </w:r>
    </w:p>
    <w:p>
      <w:r>
        <w:rPr>
          <w:sz w:val="22"/>
        </w:rPr>
        <w:t>1. **Incorporate Generative AI:** Introduce basic concepts of Generative AI, prompt engineering, and the ethical implications of synthetic media (deepfakes, LLM hallucinations).</w:t>
      </w:r>
    </w:p>
    <w:p>
      <w:r>
        <w:rPr>
          <w:sz w:val="22"/>
        </w:rPr>
        <w:t>2. **Cloud-Based Alternatives:** Provide guidelines for utilizing cloud-based coding environments (e.g., Google Colab) to mitigate the need for expensive local hardware in resource-constrained schools.</w:t>
      </w:r>
    </w:p>
    <w:p>
      <w:r>
        <w:rPr>
          <w:sz w:val="22"/>
        </w:rPr>
        <w:t>3. **Continuous Teacher Professional Development:** Establish state-sponsored training bootcamps and certification programs to keep educators updated on rapidly evolving AI tools.</w:t>
      </w:r>
    </w:p>
    <w:p>
      <w:r>
        <w:rPr>
          <w:sz w:val="22"/>
        </w:rPr>
        <w:t>4. **Dynamic Software Guidelines:** Transition from naming specific proprietary tools to defining "tool categories," allowing schools flexibility in choosing active, open-source alternatives.</w:t>
      </w:r>
    </w:p>
    <w:p>
      <w:r>
        <w:rPr>
          <w:sz w:val="22"/>
        </w:rPr>
        <w:t>---</w:t>
      </w:r>
    </w:p>
    <w:p>
      <w:pPr>
        <w:pStyle w:val="Heading2"/>
      </w:pPr>
      <w:r>
        <w:t>Conclusion</w:t>
      </w:r>
    </w:p>
    <w:p>
      <w:r>
        <w:rPr>
          <w:sz w:val="22"/>
        </w:rPr>
        <w:t>The CBSE Class X Artificial Intelligence curriculum for 2026-2027 is a forward-thinking, well-structured educational framework. It successfully shifts the paradigm of secondary school computer science from passive digital literacy to active AI creation and evaluation. By balancing technical rigor (Python, CNNs, NLP) with ethical inquiry and vocational soft skills, the curriculum lays a robust foundation for the next generation of digital citizens and tech innovators. Its ultimate success, however, will depend on the equitable distribution of computing infrastructure and the systematic training of educators across the school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