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Theme="majorEastAsia" w:hAnsiTheme="majorEastAsia" w:eastAsiaTheme="majorEastAsia" w:cstheme="majorEastAsia"/>
          <w:bCs w:val="0"/>
          <w:snapToGrid w:val="0"/>
          <w:color w:val="000000"/>
          <w:sz w:val="44"/>
          <w:szCs w:val="44"/>
          <w:lang w:val="en-US" w:eastAsia="zh-CN" w:bidi="ar-SA"/>
        </w:rPr>
        <w:id w:val="147481087"/>
        <w15:color w:val="DBDBDB"/>
        <w:docPartObj>
          <w:docPartGallery w:val="Table of Contents"/>
          <w:docPartUnique/>
        </w:docPartObj>
      </w:sdtPr>
      <w:sdtEndPr>
        <w:rPr>
          <w:rFonts w:asciiTheme="minorHAnsi" w:hAnsiTheme="minorHAnsi" w:eastAsiaTheme="minorEastAsia" w:cstheme="minorBidi"/>
          <w:sz w:val="21"/>
          <w:szCs w:val="22"/>
        </w:rPr>
      </w:sdtEndPr>
      <w:sdtContent>
        <w:p w14:paraId="074A350D">
          <w:pPr>
            <w:pStyle w:val="2"/>
            <w:keepNext/>
            <w:keepLines/>
            <w:pageBreakBefore w:val="0"/>
            <w:widowControl/>
            <w:kinsoku w:val="0"/>
            <w:wordWrap/>
            <w:overflowPunct/>
            <w:topLinePunct w:val="0"/>
            <w:autoSpaceDE w:val="0"/>
            <w:autoSpaceDN w:val="0"/>
            <w:bidi w:val="0"/>
            <w:adjustRightInd w:val="0"/>
            <w:snapToGrid w:val="0"/>
            <w:spacing w:before="340" w:beforeLines="0" w:beforeAutospacing="0" w:after="330" w:afterLines="0" w:afterAutospacing="0" w:line="240" w:lineRule="auto"/>
            <w:jc w:val="center"/>
            <w:textAlignment w:val="baseline"/>
            <w:outlineLvl w:val="9"/>
            <w:rPr>
              <w:rFonts w:hint="eastAsia" w:asciiTheme="majorEastAsia" w:hAnsiTheme="majorEastAsia" w:eastAsiaTheme="majorEastAsia" w:cstheme="majorEastAsia"/>
              <w:bCs w:val="0"/>
              <w:snapToGrid w:val="0"/>
              <w:color w:val="000000"/>
              <w:sz w:val="44"/>
              <w:szCs w:val="44"/>
              <w:lang w:val="en-US" w:eastAsia="zh-CN" w:bidi="ar-SA"/>
            </w:rPr>
          </w:pPr>
          <w:bookmarkStart w:id="93" w:name="_GoBack"/>
          <w:bookmarkEnd w:id="93"/>
          <w:r>
            <w:rPr>
              <w:rFonts w:hint="eastAsia" w:asciiTheme="majorEastAsia" w:hAnsiTheme="majorEastAsia" w:eastAsiaTheme="majorEastAsia" w:cstheme="majorEastAsia"/>
              <w:bCs w:val="0"/>
              <w:snapToGrid w:val="0"/>
              <w:color w:val="000000"/>
              <w:sz w:val="44"/>
              <w:szCs w:val="44"/>
              <w:lang w:val="en-US" w:eastAsia="zh-CN" w:bidi="ar-SA"/>
            </w:rPr>
            <w:t>软件测试过程管理</w:t>
          </w:r>
          <w:r>
            <w:rPr>
              <w:rFonts w:hint="eastAsia" w:asciiTheme="majorEastAsia" w:hAnsiTheme="majorEastAsia" w:eastAsiaTheme="majorEastAsia" w:cstheme="majorEastAsia"/>
              <w:bCs w:val="0"/>
              <w:snapToGrid w:val="0"/>
              <w:color w:val="000000"/>
              <w:sz w:val="44"/>
              <w:szCs w:val="44"/>
              <w:lang w:val="en-US" w:eastAsia="zh-CN" w:bidi="ar-SA"/>
            </w:rPr>
            <w:br w:type="textWrapping"/>
          </w:r>
          <w:r>
            <w:rPr>
              <w:rFonts w:hint="eastAsia" w:asciiTheme="majorEastAsia" w:hAnsiTheme="majorEastAsia" w:eastAsiaTheme="majorEastAsia" w:cstheme="majorEastAsia"/>
              <w:bCs w:val="0"/>
              <w:snapToGrid w:val="0"/>
              <w:color w:val="000000"/>
              <w:sz w:val="44"/>
              <w:szCs w:val="44"/>
              <w:lang w:val="en-US" w:eastAsia="zh-CN" w:bidi="ar-SA"/>
            </w:rPr>
            <w:t>与缺陷跟踪系统</w:t>
          </w:r>
        </w:p>
        <w:p w14:paraId="523F3F8A">
          <w:pPr>
            <w:pStyle w:val="2"/>
            <w:keepNext/>
            <w:keepLines/>
            <w:pageBreakBefore w:val="0"/>
            <w:widowControl/>
            <w:kinsoku w:val="0"/>
            <w:wordWrap/>
            <w:overflowPunct/>
            <w:topLinePunct w:val="0"/>
            <w:autoSpaceDE w:val="0"/>
            <w:autoSpaceDN w:val="0"/>
            <w:bidi w:val="0"/>
            <w:adjustRightInd w:val="0"/>
            <w:snapToGrid w:val="0"/>
            <w:spacing w:before="340" w:beforeLines="0" w:beforeAutospacing="0" w:after="330" w:afterLines="0" w:afterAutospacing="0" w:line="240" w:lineRule="auto"/>
            <w:jc w:val="center"/>
            <w:textAlignment w:val="baseline"/>
            <w:outlineLvl w:val="9"/>
            <w:rPr>
              <w:rFonts w:hint="default"/>
              <w:lang w:val="en-US" w:eastAsia="zh-CN"/>
            </w:rPr>
          </w:pPr>
          <w:r>
            <w:rPr>
              <w:rFonts w:hint="eastAsia" w:asciiTheme="majorEastAsia" w:hAnsiTheme="majorEastAsia" w:eastAsiaTheme="majorEastAsia" w:cstheme="majorEastAsia"/>
              <w:bCs w:val="0"/>
              <w:snapToGrid w:val="0"/>
              <w:color w:val="000000"/>
              <w:sz w:val="44"/>
              <w:szCs w:val="44"/>
              <w:lang w:val="en-US" w:eastAsia="zh-CN" w:bidi="ar-SA"/>
            </w:rPr>
            <w:t>项目需求说明书</w:t>
          </w:r>
        </w:p>
        <w:p w14:paraId="27C534EA">
          <w:pPr>
            <w:spacing w:line="86" w:lineRule="exact"/>
          </w:pPr>
          <w:r>
            <w:rPr>
              <w:position w:val="-1"/>
            </w:rPr>
            <mc:AlternateContent>
              <mc:Choice Requires="wpg">
                <w:drawing>
                  <wp:inline distT="0" distB="0" distL="114300" distR="114300">
                    <wp:extent cx="5267960" cy="55245"/>
                    <wp:effectExtent l="0" t="0" r="8890" b="1905"/>
                    <wp:docPr id="13" name="组合 13"/>
                    <wp:cNvGraphicFramePr/>
                    <a:graphic xmlns:a="http://schemas.openxmlformats.org/drawingml/2006/main">
                      <a:graphicData uri="http://schemas.microsoft.com/office/word/2010/wordprocessingGroup">
                        <wpg:wgp>
                          <wpg:cNvGrpSpPr/>
                          <wpg:grpSpPr>
                            <a:xfrm>
                              <a:off x="0" y="0"/>
                              <a:ext cx="5267960" cy="55245"/>
                              <a:chOff x="0" y="0"/>
                              <a:chExt cx="8295" cy="86"/>
                            </a:xfrm>
                          </wpg:grpSpPr>
                          <wps:wsp>
                            <wps:cNvPr id="11" name="任意多边形 11"/>
                            <wps:cNvSpPr/>
                            <wps:spPr>
                              <a:xfrm>
                                <a:off x="0" y="0"/>
                                <a:ext cx="8295" cy="58"/>
                              </a:xfrm>
                              <a:custGeom>
                                <a:avLst/>
                                <a:gdLst/>
                                <a:ahLst/>
                                <a:cxnLst/>
                                <a:pathLst>
                                  <a:path w="8295" h="58">
                                    <a:moveTo>
                                      <a:pt x="0" y="28"/>
                                    </a:moveTo>
                                    <a:lnTo>
                                      <a:pt x="8295" y="28"/>
                                    </a:lnTo>
                                  </a:path>
                                </a:pathLst>
                              </a:custGeom>
                              <a:noFill/>
                              <a:ln w="36576" cap="flat" cmpd="sng">
                                <a:solidFill>
                                  <a:srgbClr val="C00000"/>
                                </a:solidFill>
                                <a:prstDash val="solid"/>
                                <a:bevel/>
                                <a:headEnd type="none" w="med" len="med"/>
                                <a:tailEnd type="none" w="med" len="med"/>
                              </a:ln>
                            </wps:spPr>
                            <wps:bodyPr upright="1"/>
                          </wps:wsp>
                          <wps:wsp>
                            <wps:cNvPr id="12" name="任意多边形 12"/>
                            <wps:cNvSpPr/>
                            <wps:spPr>
                              <a:xfrm>
                                <a:off x="0" y="71"/>
                                <a:ext cx="8295" cy="15"/>
                              </a:xfrm>
                              <a:custGeom>
                                <a:avLst/>
                                <a:gdLst/>
                                <a:ahLst/>
                                <a:cxnLst/>
                                <a:pathLst>
                                  <a:path w="8295" h="15">
                                    <a:moveTo>
                                      <a:pt x="0" y="7"/>
                                    </a:moveTo>
                                    <a:lnTo>
                                      <a:pt x="8295" y="7"/>
                                    </a:lnTo>
                                  </a:path>
                                </a:pathLst>
                              </a:custGeom>
                              <a:noFill/>
                              <a:ln w="9144" cap="flat" cmpd="sng">
                                <a:solidFill>
                                  <a:srgbClr val="C00000"/>
                                </a:solidFill>
                                <a:prstDash val="solid"/>
                                <a:bevel/>
                                <a:headEnd type="none" w="med" len="med"/>
                                <a:tailEnd type="none" w="med" len="med"/>
                              </a:ln>
                            </wps:spPr>
                            <wps:bodyPr upright="1"/>
                          </wps:wsp>
                        </wpg:wgp>
                      </a:graphicData>
                    </a:graphic>
                  </wp:inline>
                </w:drawing>
              </mc:Choice>
              <mc:Fallback>
                <w:pict>
                  <v:group id="_x0000_s1026" o:spid="_x0000_s1026" o:spt="203" style="height:4.35pt;width:414.8pt;" coordsize="8295,86" o:gfxdata="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ChtMQ/UAAAAAwEAAA8AAAAAAAAAAQAgAAAAIgAAAGRycy9kb3ducmV2Lnht&#10;bFBLAQIUABQAAAAIAIdO4kAHfWo44QIAAHUIAAAOAAAAAAAAAAEAIAAAACMBAABkcnMvZTJvRG9j&#10;LnhtbFBLBQYAAAAABgAGAFkBAAB2BgAAAAA=&#10;">
                    <o:lock v:ext="edit" aspectratio="f"/>
                    <v:shape id="_x0000_s1026" o:spid="_x0000_s1026" o:spt="100" style="position:absolute;left:0;top:0;height:58;width:8295;" filled="f" stroked="t" coordsize="8295,58" o:gfxdata="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MJRku5AAAA2wAA&#10;AA8AAAAAAAAAAQAgAAAAIgAAAGRycy9kb3ducmV2LnhtbFBLAQIUABQAAAAIAIdO4kAzLwWeOwAA&#10;ADkAAAAQAAAAAAAAAAEAIAAAAAgBAABkcnMvc2hhcGV4bWwueG1sUEsFBgAAAAAGAAYAWwEAALID&#10;AAAAAA==&#10;" path="m0,28l8295,28e">
                      <v:fill on="f" focussize="0,0"/>
                      <v:stroke weight="2.88pt" color="#C00000" joinstyle="bevel"/>
                      <v:imagedata o:title=""/>
                      <o:lock v:ext="edit" aspectratio="f"/>
                    </v:shape>
                    <v:shape id="_x0000_s1026" o:spid="_x0000_s1026" o:spt="100" style="position:absolute;left:0;top:71;height:15;width:8295;" filled="f" stroked="t" coordsize="8295,15" o:gfxdata="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ev3S/&#10;AAAA2wAAAA8AAAAAAAAAAQAgAAAAIgAAAGRycy9kb3ducmV2LnhtbFBLAQIUABQAAAAIAIdO4kAz&#10;LwWeOwAAADkAAAAQAAAAAAAAAAEAIAAAAA4BAABkcnMvc2hhcGV4bWwueG1sUEsFBgAAAAAGAAYA&#10;WwEAALgDAAAAAA==&#10;" path="m0,7l8295,7e">
                      <v:fill on="f" focussize="0,0"/>
                      <v:stroke weight="0.72pt" color="#C00000" joinstyle="bevel"/>
                      <v:imagedata o:title=""/>
                      <o:lock v:ext="edit" aspectratio="f"/>
                    </v:shape>
                    <w10:wrap type="none"/>
                    <w10:anchorlock/>
                  </v:group>
                </w:pict>
              </mc:Fallback>
            </mc:AlternateContent>
          </w:r>
        </w:p>
        <w:p w14:paraId="7A36D552">
          <w:pPr>
            <w:spacing w:line="306" w:lineRule="auto"/>
            <w:rPr>
              <w:rFonts w:ascii="Arial"/>
              <w:sz w:val="21"/>
            </w:rPr>
          </w:pPr>
        </w:p>
        <w:p w14:paraId="58D32553">
          <w:pPr>
            <w:spacing w:line="479" w:lineRule="auto"/>
            <w:rPr>
              <w:rFonts w:ascii="Arial"/>
              <w:sz w:val="21"/>
            </w:rPr>
          </w:pPr>
        </w:p>
        <w:p w14:paraId="7ABC2EED">
          <w:pPr>
            <w:spacing w:line="3228" w:lineRule="exact"/>
            <w:ind w:firstLine="2527"/>
          </w:pPr>
          <w:r>
            <w:rPr>
              <w:position w:val="-64"/>
            </w:rPr>
            <w:drawing>
              <wp:inline distT="0" distB="0" distL="0" distR="0">
                <wp:extent cx="2057400" cy="2049145"/>
                <wp:effectExtent l="0" t="0" r="0" b="825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2057400" cy="2049779"/>
                        </a:xfrm>
                        <a:prstGeom prst="rect">
                          <a:avLst/>
                        </a:prstGeom>
                      </pic:spPr>
                    </pic:pic>
                  </a:graphicData>
                </a:graphic>
              </wp:inline>
            </w:drawing>
          </w:r>
        </w:p>
        <w:p w14:paraId="700174D1">
          <w:pPr>
            <w:spacing w:line="276" w:lineRule="auto"/>
            <w:rPr>
              <w:rFonts w:ascii="Arial"/>
              <w:sz w:val="21"/>
            </w:rPr>
          </w:pPr>
        </w:p>
        <w:p w14:paraId="55B28C12">
          <w:pPr>
            <w:spacing w:line="276" w:lineRule="auto"/>
            <w:rPr>
              <w:rFonts w:ascii="Arial"/>
              <w:sz w:val="21"/>
            </w:rPr>
          </w:pPr>
        </w:p>
        <w:p w14:paraId="701895FE">
          <w:pPr>
            <w:spacing w:line="277" w:lineRule="auto"/>
            <w:rPr>
              <w:rFonts w:ascii="Arial"/>
              <w:sz w:val="21"/>
            </w:rPr>
          </w:pPr>
        </w:p>
        <w:p w14:paraId="7CE3DAD1">
          <w:pPr>
            <w:pStyle w:val="5"/>
            <w:spacing w:before="299" w:line="225" w:lineRule="auto"/>
            <w:ind w:left="208"/>
            <w:rPr>
              <w:rFonts w:hint="eastAsia"/>
              <w:b/>
              <w:bCs/>
              <w:u w:val="none" w:color="auto"/>
              <w:shd w:val="clear" w:color="auto" w:fill="auto"/>
              <w:lang w:val="en-US" w:eastAsia="zh-CN"/>
            </w:rPr>
          </w:pPr>
          <w:r>
            <w:rPr>
              <w:rFonts w:hint="eastAsia"/>
              <w:b/>
              <w:bCs/>
              <w:u w:val="none" w:color="auto"/>
              <w:shd w:val="clear" w:color="auto" w:fill="auto"/>
              <w:lang w:val="en-US" w:eastAsia="zh-CN"/>
            </w:rPr>
            <w:t>小组成员：</w:t>
          </w:r>
        </w:p>
        <w:p w14:paraId="03C7F62C">
          <w:pPr>
            <w:pStyle w:val="5"/>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赵梓元</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软件2303</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2236515829</w:t>
          </w:r>
        </w:p>
        <w:p w14:paraId="2BD970CC">
          <w:pPr>
            <w:pStyle w:val="5"/>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谢俊楷</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软件2304</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2233412527</w:t>
          </w:r>
        </w:p>
        <w:p w14:paraId="203B170C">
          <w:pPr>
            <w:pStyle w:val="5"/>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申高辉</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软件2304</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2231313863</w:t>
          </w:r>
        </w:p>
        <w:p w14:paraId="56E302D8">
          <w:pPr>
            <w:pStyle w:val="5"/>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侯宇能</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软件2304</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2236115247</w:t>
          </w:r>
        </w:p>
        <w:p w14:paraId="2026B154">
          <w:pPr>
            <w:pStyle w:val="5"/>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李文烨</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软件2303</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2233611669</w:t>
          </w:r>
        </w:p>
        <w:p w14:paraId="2E0A6C9A">
          <w:pPr>
            <w:pStyle w:val="5"/>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姚子羽</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软件2303</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2235113265</w:t>
          </w:r>
        </w:p>
        <w:p w14:paraId="428104D8">
          <w:pPr>
            <w:rPr>
              <w:rFonts w:ascii="宋体" w:hAnsi="宋体" w:eastAsia="宋体"/>
              <w:sz w:val="21"/>
            </w:rPr>
          </w:pPr>
          <w:r>
            <w:rPr>
              <w:rFonts w:ascii="宋体" w:hAnsi="宋体" w:eastAsia="宋体"/>
              <w:sz w:val="21"/>
            </w:rPr>
            <w:br w:type="page"/>
          </w:r>
        </w:p>
        <w:p w14:paraId="669CCD9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1466A4A">
          <w:pPr>
            <w:pStyle w:val="7"/>
            <w:tabs>
              <w:tab w:val="right" w:leader="dot" w:pos="8305"/>
              <w:tab w:val="clear" w:pos="8296"/>
            </w:tabs>
          </w:pPr>
          <w:r>
            <w:fldChar w:fldCharType="begin"/>
          </w:r>
          <w:r>
            <w:instrText xml:space="preserve">TOC \o "1-3" \h \u </w:instrText>
          </w:r>
          <w:r>
            <w:fldChar w:fldCharType="separate"/>
          </w:r>
          <w:r>
            <w:fldChar w:fldCharType="begin"/>
          </w:r>
          <w:r>
            <w:instrText xml:space="preserve"> HYPERLINK \l _Toc3269 </w:instrText>
          </w:r>
          <w:r>
            <w:fldChar w:fldCharType="separate"/>
          </w:r>
          <w:r>
            <w:rPr>
              <w:rFonts w:ascii="Arial" w:hAnsi="Arial" w:eastAsia="等线" w:cs="Arial"/>
            </w:rPr>
            <w:t>1 引言</w:t>
          </w:r>
          <w:r>
            <w:tab/>
          </w:r>
          <w:r>
            <w:fldChar w:fldCharType="begin"/>
          </w:r>
          <w:r>
            <w:instrText xml:space="preserve"> PAGEREF _Toc3269 \h </w:instrText>
          </w:r>
          <w:r>
            <w:fldChar w:fldCharType="separate"/>
          </w:r>
          <w:r>
            <w:t>3</w:t>
          </w:r>
          <w:r>
            <w:fldChar w:fldCharType="end"/>
          </w:r>
          <w:r>
            <w:fldChar w:fldCharType="end"/>
          </w:r>
        </w:p>
        <w:p w14:paraId="20EB45E8">
          <w:pPr>
            <w:pStyle w:val="8"/>
            <w:tabs>
              <w:tab w:val="right" w:leader="dot" w:pos="8305"/>
            </w:tabs>
          </w:pPr>
          <w:r>
            <w:fldChar w:fldCharType="begin"/>
          </w:r>
          <w:r>
            <w:instrText xml:space="preserve"> HYPERLINK \l _Toc5034 </w:instrText>
          </w:r>
          <w:r>
            <w:fldChar w:fldCharType="separate"/>
          </w:r>
          <w:r>
            <w:rPr>
              <w:rFonts w:ascii="Arial" w:hAnsi="Arial" w:eastAsia="等线" w:cs="Arial"/>
            </w:rPr>
            <w:t>1.1 编写目的</w:t>
          </w:r>
          <w:r>
            <w:tab/>
          </w:r>
          <w:r>
            <w:fldChar w:fldCharType="begin"/>
          </w:r>
          <w:r>
            <w:instrText xml:space="preserve"> PAGEREF _Toc5034 \h </w:instrText>
          </w:r>
          <w:r>
            <w:fldChar w:fldCharType="separate"/>
          </w:r>
          <w:r>
            <w:t>3</w:t>
          </w:r>
          <w:r>
            <w:fldChar w:fldCharType="end"/>
          </w:r>
          <w:r>
            <w:fldChar w:fldCharType="end"/>
          </w:r>
        </w:p>
        <w:p w14:paraId="6E596451">
          <w:pPr>
            <w:pStyle w:val="8"/>
            <w:tabs>
              <w:tab w:val="right" w:leader="dot" w:pos="8305"/>
            </w:tabs>
          </w:pPr>
          <w:r>
            <w:fldChar w:fldCharType="begin"/>
          </w:r>
          <w:r>
            <w:instrText xml:space="preserve"> HYPERLINK \l _Toc19645 </w:instrText>
          </w:r>
          <w:r>
            <w:fldChar w:fldCharType="separate"/>
          </w:r>
          <w:r>
            <w:rPr>
              <w:rFonts w:ascii="Arial" w:hAnsi="Arial" w:eastAsia="等线" w:cs="Arial"/>
            </w:rPr>
            <w:t>1.2 背景</w:t>
          </w:r>
          <w:r>
            <w:tab/>
          </w:r>
          <w:r>
            <w:fldChar w:fldCharType="begin"/>
          </w:r>
          <w:r>
            <w:instrText xml:space="preserve"> PAGEREF _Toc19645 \h </w:instrText>
          </w:r>
          <w:r>
            <w:fldChar w:fldCharType="separate"/>
          </w:r>
          <w:r>
            <w:t>3</w:t>
          </w:r>
          <w:r>
            <w:fldChar w:fldCharType="end"/>
          </w:r>
          <w:r>
            <w:fldChar w:fldCharType="end"/>
          </w:r>
        </w:p>
        <w:p w14:paraId="49750800">
          <w:pPr>
            <w:pStyle w:val="8"/>
            <w:tabs>
              <w:tab w:val="right" w:leader="dot" w:pos="8305"/>
            </w:tabs>
          </w:pPr>
          <w:r>
            <w:fldChar w:fldCharType="begin"/>
          </w:r>
          <w:r>
            <w:instrText xml:space="preserve"> HYPERLINK \l _Toc18418 </w:instrText>
          </w:r>
          <w:r>
            <w:fldChar w:fldCharType="separate"/>
          </w:r>
          <w:r>
            <w:rPr>
              <w:rFonts w:ascii="Arial" w:hAnsi="Arial" w:eastAsia="等线" w:cs="Arial"/>
            </w:rPr>
            <w:t>1.3 定义</w:t>
          </w:r>
          <w:r>
            <w:tab/>
          </w:r>
          <w:r>
            <w:fldChar w:fldCharType="begin"/>
          </w:r>
          <w:r>
            <w:instrText xml:space="preserve"> PAGEREF _Toc18418 \h </w:instrText>
          </w:r>
          <w:r>
            <w:fldChar w:fldCharType="separate"/>
          </w:r>
          <w:r>
            <w:t>3</w:t>
          </w:r>
          <w:r>
            <w:fldChar w:fldCharType="end"/>
          </w:r>
          <w:r>
            <w:fldChar w:fldCharType="end"/>
          </w:r>
        </w:p>
        <w:p w14:paraId="6FD6EDC0">
          <w:pPr>
            <w:pStyle w:val="8"/>
            <w:tabs>
              <w:tab w:val="right" w:leader="dot" w:pos="8305"/>
            </w:tabs>
          </w:pPr>
          <w:r>
            <w:fldChar w:fldCharType="begin"/>
          </w:r>
          <w:r>
            <w:instrText xml:space="preserve"> HYPERLINK \l _Toc29685 </w:instrText>
          </w:r>
          <w:r>
            <w:fldChar w:fldCharType="separate"/>
          </w:r>
          <w:r>
            <w:rPr>
              <w:rFonts w:ascii="Arial" w:hAnsi="Arial" w:eastAsia="等线" w:cs="Arial"/>
            </w:rPr>
            <w:t>1.4 参考资料</w:t>
          </w:r>
          <w:r>
            <w:tab/>
          </w:r>
          <w:r>
            <w:fldChar w:fldCharType="begin"/>
          </w:r>
          <w:r>
            <w:instrText xml:space="preserve"> PAGEREF _Toc29685 \h </w:instrText>
          </w:r>
          <w:r>
            <w:fldChar w:fldCharType="separate"/>
          </w:r>
          <w:r>
            <w:t>3</w:t>
          </w:r>
          <w:r>
            <w:fldChar w:fldCharType="end"/>
          </w:r>
          <w:r>
            <w:fldChar w:fldCharType="end"/>
          </w:r>
        </w:p>
        <w:p w14:paraId="2E1B8667">
          <w:pPr>
            <w:pStyle w:val="7"/>
            <w:tabs>
              <w:tab w:val="right" w:leader="dot" w:pos="8305"/>
              <w:tab w:val="clear" w:pos="8296"/>
            </w:tabs>
          </w:pPr>
          <w:r>
            <w:fldChar w:fldCharType="begin"/>
          </w:r>
          <w:r>
            <w:instrText xml:space="preserve"> HYPERLINK \l _Toc9272 </w:instrText>
          </w:r>
          <w:r>
            <w:fldChar w:fldCharType="separate"/>
          </w:r>
          <w:r>
            <w:rPr>
              <w:rFonts w:ascii="Arial" w:hAnsi="Arial" w:eastAsia="等线" w:cs="Arial"/>
            </w:rPr>
            <w:t>2 任务概述</w:t>
          </w:r>
          <w:r>
            <w:tab/>
          </w:r>
          <w:r>
            <w:fldChar w:fldCharType="begin"/>
          </w:r>
          <w:r>
            <w:instrText xml:space="preserve"> PAGEREF _Toc9272 \h </w:instrText>
          </w:r>
          <w:r>
            <w:fldChar w:fldCharType="separate"/>
          </w:r>
          <w:r>
            <w:t>4</w:t>
          </w:r>
          <w:r>
            <w:fldChar w:fldCharType="end"/>
          </w:r>
          <w:r>
            <w:fldChar w:fldCharType="end"/>
          </w:r>
        </w:p>
        <w:p w14:paraId="0CF35F3C">
          <w:pPr>
            <w:pStyle w:val="8"/>
            <w:tabs>
              <w:tab w:val="right" w:leader="dot" w:pos="8305"/>
            </w:tabs>
          </w:pPr>
          <w:r>
            <w:fldChar w:fldCharType="begin"/>
          </w:r>
          <w:r>
            <w:instrText xml:space="preserve"> HYPERLINK \l _Toc3835 </w:instrText>
          </w:r>
          <w:r>
            <w:fldChar w:fldCharType="separate"/>
          </w:r>
          <w:r>
            <w:rPr>
              <w:rFonts w:ascii="Arial" w:hAnsi="Arial" w:eastAsia="等线" w:cs="Arial"/>
            </w:rPr>
            <w:t>2.1 目标</w:t>
          </w:r>
          <w:r>
            <w:tab/>
          </w:r>
          <w:r>
            <w:fldChar w:fldCharType="begin"/>
          </w:r>
          <w:r>
            <w:instrText xml:space="preserve"> PAGEREF _Toc3835 \h </w:instrText>
          </w:r>
          <w:r>
            <w:fldChar w:fldCharType="separate"/>
          </w:r>
          <w:r>
            <w:t>4</w:t>
          </w:r>
          <w:r>
            <w:fldChar w:fldCharType="end"/>
          </w:r>
          <w:r>
            <w:fldChar w:fldCharType="end"/>
          </w:r>
        </w:p>
        <w:p w14:paraId="2F40E447">
          <w:pPr>
            <w:pStyle w:val="8"/>
            <w:tabs>
              <w:tab w:val="right" w:leader="dot" w:pos="8305"/>
            </w:tabs>
          </w:pPr>
          <w:r>
            <w:fldChar w:fldCharType="begin"/>
          </w:r>
          <w:r>
            <w:instrText xml:space="preserve"> HYPERLINK \l _Toc21178 </w:instrText>
          </w:r>
          <w:r>
            <w:fldChar w:fldCharType="separate"/>
          </w:r>
          <w:r>
            <w:rPr>
              <w:rFonts w:ascii="Arial" w:hAnsi="Arial" w:eastAsia="等线" w:cs="Arial"/>
            </w:rPr>
            <w:t>2.2 用户的特点</w:t>
          </w:r>
          <w:r>
            <w:tab/>
          </w:r>
          <w:r>
            <w:fldChar w:fldCharType="begin"/>
          </w:r>
          <w:r>
            <w:instrText xml:space="preserve"> PAGEREF _Toc21178 \h </w:instrText>
          </w:r>
          <w:r>
            <w:fldChar w:fldCharType="separate"/>
          </w:r>
          <w:r>
            <w:t>4</w:t>
          </w:r>
          <w:r>
            <w:fldChar w:fldCharType="end"/>
          </w:r>
          <w:r>
            <w:fldChar w:fldCharType="end"/>
          </w:r>
        </w:p>
        <w:p w14:paraId="4AADF0A6">
          <w:pPr>
            <w:pStyle w:val="8"/>
            <w:tabs>
              <w:tab w:val="right" w:leader="dot" w:pos="8305"/>
            </w:tabs>
          </w:pPr>
          <w:r>
            <w:fldChar w:fldCharType="begin"/>
          </w:r>
          <w:r>
            <w:instrText xml:space="preserve"> HYPERLINK \l _Toc22362 </w:instrText>
          </w:r>
          <w:r>
            <w:fldChar w:fldCharType="separate"/>
          </w:r>
          <w:r>
            <w:rPr>
              <w:rFonts w:ascii="Arial" w:hAnsi="Arial" w:eastAsia="等线" w:cs="Arial"/>
            </w:rPr>
            <w:t>2.3 假定和约束</w:t>
          </w:r>
          <w:r>
            <w:tab/>
          </w:r>
          <w:r>
            <w:fldChar w:fldCharType="begin"/>
          </w:r>
          <w:r>
            <w:instrText xml:space="preserve"> PAGEREF _Toc22362 \h </w:instrText>
          </w:r>
          <w:r>
            <w:fldChar w:fldCharType="separate"/>
          </w:r>
          <w:r>
            <w:t>4</w:t>
          </w:r>
          <w:r>
            <w:fldChar w:fldCharType="end"/>
          </w:r>
          <w:r>
            <w:fldChar w:fldCharType="end"/>
          </w:r>
        </w:p>
        <w:p w14:paraId="1FB4B17B">
          <w:pPr>
            <w:pStyle w:val="7"/>
            <w:tabs>
              <w:tab w:val="right" w:leader="dot" w:pos="8305"/>
              <w:tab w:val="clear" w:pos="8296"/>
            </w:tabs>
          </w:pPr>
          <w:r>
            <w:fldChar w:fldCharType="begin"/>
          </w:r>
          <w:r>
            <w:instrText xml:space="preserve"> HYPERLINK \l _Toc1553 </w:instrText>
          </w:r>
          <w:r>
            <w:fldChar w:fldCharType="separate"/>
          </w:r>
          <w:r>
            <w:rPr>
              <w:rFonts w:ascii="Arial" w:hAnsi="Arial" w:eastAsia="等线" w:cs="Arial"/>
            </w:rPr>
            <w:t>3 需求规定</w:t>
          </w:r>
          <w:r>
            <w:tab/>
          </w:r>
          <w:r>
            <w:fldChar w:fldCharType="begin"/>
          </w:r>
          <w:r>
            <w:instrText xml:space="preserve"> PAGEREF _Toc1553 \h </w:instrText>
          </w:r>
          <w:r>
            <w:fldChar w:fldCharType="separate"/>
          </w:r>
          <w:r>
            <w:t>5</w:t>
          </w:r>
          <w:r>
            <w:fldChar w:fldCharType="end"/>
          </w:r>
          <w:r>
            <w:fldChar w:fldCharType="end"/>
          </w:r>
        </w:p>
        <w:p w14:paraId="539E86D7">
          <w:pPr>
            <w:pStyle w:val="8"/>
            <w:tabs>
              <w:tab w:val="right" w:leader="dot" w:pos="8305"/>
            </w:tabs>
          </w:pPr>
          <w:r>
            <w:fldChar w:fldCharType="begin"/>
          </w:r>
          <w:r>
            <w:instrText xml:space="preserve"> HYPERLINK \l _Toc32662 </w:instrText>
          </w:r>
          <w:r>
            <w:fldChar w:fldCharType="separate"/>
          </w:r>
          <w:r>
            <w:rPr>
              <w:rFonts w:ascii="Arial" w:hAnsi="Arial" w:eastAsia="等线" w:cs="Arial"/>
            </w:rPr>
            <w:t>3.1 对功能的规定</w:t>
          </w:r>
          <w:r>
            <w:tab/>
          </w:r>
          <w:r>
            <w:fldChar w:fldCharType="begin"/>
          </w:r>
          <w:r>
            <w:instrText xml:space="preserve"> PAGEREF _Toc32662 \h </w:instrText>
          </w:r>
          <w:r>
            <w:fldChar w:fldCharType="separate"/>
          </w:r>
          <w:r>
            <w:t>5</w:t>
          </w:r>
          <w:r>
            <w:fldChar w:fldCharType="end"/>
          </w:r>
          <w:r>
            <w:fldChar w:fldCharType="end"/>
          </w:r>
        </w:p>
        <w:p w14:paraId="0D47D4CE">
          <w:pPr>
            <w:pStyle w:val="6"/>
            <w:tabs>
              <w:tab w:val="right" w:leader="dot" w:pos="8305"/>
            </w:tabs>
          </w:pPr>
          <w:r>
            <w:fldChar w:fldCharType="begin"/>
          </w:r>
          <w:r>
            <w:instrText xml:space="preserve"> HYPERLINK \l _Toc4030 </w:instrText>
          </w:r>
          <w:r>
            <w:fldChar w:fldCharType="separate"/>
          </w:r>
          <w:r>
            <w:rPr>
              <w:rFonts w:ascii="Arial" w:hAnsi="Arial" w:eastAsia="等线" w:cs="Arial"/>
            </w:rPr>
            <w:t>3.1.1 测试计划管理模块</w:t>
          </w:r>
          <w:r>
            <w:tab/>
          </w:r>
          <w:r>
            <w:fldChar w:fldCharType="begin"/>
          </w:r>
          <w:r>
            <w:instrText xml:space="preserve"> PAGEREF _Toc4030 \h </w:instrText>
          </w:r>
          <w:r>
            <w:fldChar w:fldCharType="separate"/>
          </w:r>
          <w:r>
            <w:t>5</w:t>
          </w:r>
          <w:r>
            <w:fldChar w:fldCharType="end"/>
          </w:r>
          <w:r>
            <w:fldChar w:fldCharType="end"/>
          </w:r>
        </w:p>
        <w:p w14:paraId="02D6A08D">
          <w:pPr>
            <w:pStyle w:val="6"/>
            <w:tabs>
              <w:tab w:val="right" w:leader="dot" w:pos="8305"/>
            </w:tabs>
          </w:pPr>
          <w:r>
            <w:fldChar w:fldCharType="begin"/>
          </w:r>
          <w:r>
            <w:instrText xml:space="preserve"> HYPERLINK \l _Toc10 </w:instrText>
          </w:r>
          <w:r>
            <w:fldChar w:fldCharType="separate"/>
          </w:r>
          <w:r>
            <w:rPr>
              <w:rFonts w:ascii="Arial" w:hAnsi="Arial" w:eastAsia="等线" w:cs="Arial"/>
            </w:rPr>
            <w:t>3.1.2 测试用例管理模块</w:t>
          </w:r>
          <w:r>
            <w:tab/>
          </w:r>
          <w:r>
            <w:fldChar w:fldCharType="begin"/>
          </w:r>
          <w:r>
            <w:instrText xml:space="preserve"> PAGEREF _Toc10 \h </w:instrText>
          </w:r>
          <w:r>
            <w:fldChar w:fldCharType="separate"/>
          </w:r>
          <w:r>
            <w:t>5</w:t>
          </w:r>
          <w:r>
            <w:fldChar w:fldCharType="end"/>
          </w:r>
          <w:r>
            <w:fldChar w:fldCharType="end"/>
          </w:r>
        </w:p>
        <w:p w14:paraId="65DF1909">
          <w:pPr>
            <w:pStyle w:val="6"/>
            <w:tabs>
              <w:tab w:val="right" w:leader="dot" w:pos="8305"/>
            </w:tabs>
          </w:pPr>
          <w:r>
            <w:fldChar w:fldCharType="begin"/>
          </w:r>
          <w:r>
            <w:instrText xml:space="preserve"> HYPERLINK \l _Toc18440 </w:instrText>
          </w:r>
          <w:r>
            <w:fldChar w:fldCharType="separate"/>
          </w:r>
          <w:r>
            <w:rPr>
              <w:rFonts w:ascii="Arial" w:hAnsi="Arial" w:eastAsia="等线" w:cs="Arial"/>
            </w:rPr>
            <w:t>3.1.3 缺陷流转与统计模块</w:t>
          </w:r>
          <w:r>
            <w:tab/>
          </w:r>
          <w:r>
            <w:fldChar w:fldCharType="begin"/>
          </w:r>
          <w:r>
            <w:instrText xml:space="preserve"> PAGEREF _Toc18440 \h </w:instrText>
          </w:r>
          <w:r>
            <w:fldChar w:fldCharType="separate"/>
          </w:r>
          <w:r>
            <w:t>6</w:t>
          </w:r>
          <w:r>
            <w:fldChar w:fldCharType="end"/>
          </w:r>
          <w:r>
            <w:fldChar w:fldCharType="end"/>
          </w:r>
        </w:p>
        <w:p w14:paraId="23FCB653">
          <w:pPr>
            <w:pStyle w:val="6"/>
            <w:tabs>
              <w:tab w:val="right" w:leader="dot" w:pos="8305"/>
            </w:tabs>
          </w:pPr>
          <w:r>
            <w:fldChar w:fldCharType="begin"/>
          </w:r>
          <w:r>
            <w:instrText xml:space="preserve"> HYPERLINK \l _Toc29660 </w:instrText>
          </w:r>
          <w:r>
            <w:fldChar w:fldCharType="separate"/>
          </w:r>
          <w:r>
            <w:rPr>
              <w:rFonts w:ascii="Arial" w:hAnsi="Arial" w:eastAsia="等线" w:cs="Arial"/>
            </w:rPr>
            <w:t>3.1.4 测试报告生成模块</w:t>
          </w:r>
          <w:r>
            <w:tab/>
          </w:r>
          <w:r>
            <w:fldChar w:fldCharType="begin"/>
          </w:r>
          <w:r>
            <w:instrText xml:space="preserve"> PAGEREF _Toc29660 \h </w:instrText>
          </w:r>
          <w:r>
            <w:fldChar w:fldCharType="separate"/>
          </w:r>
          <w:r>
            <w:t>6</w:t>
          </w:r>
          <w:r>
            <w:fldChar w:fldCharType="end"/>
          </w:r>
          <w:r>
            <w:fldChar w:fldCharType="end"/>
          </w:r>
        </w:p>
        <w:p w14:paraId="3493DF12">
          <w:pPr>
            <w:pStyle w:val="6"/>
            <w:tabs>
              <w:tab w:val="right" w:leader="dot" w:pos="8305"/>
            </w:tabs>
          </w:pPr>
          <w:r>
            <w:fldChar w:fldCharType="begin"/>
          </w:r>
          <w:r>
            <w:instrText xml:space="preserve"> HYPERLINK \l _Toc14760 </w:instrText>
          </w:r>
          <w:r>
            <w:fldChar w:fldCharType="separate"/>
          </w:r>
          <w:r>
            <w:rPr>
              <w:rFonts w:ascii="Arial" w:hAnsi="Arial" w:eastAsia="等线" w:cs="Arial"/>
            </w:rPr>
            <w:t>3.1.5 数据与部署集成模块</w:t>
          </w:r>
          <w:r>
            <w:tab/>
          </w:r>
          <w:r>
            <w:fldChar w:fldCharType="begin"/>
          </w:r>
          <w:r>
            <w:instrText xml:space="preserve"> PAGEREF _Toc14760 \h </w:instrText>
          </w:r>
          <w:r>
            <w:fldChar w:fldCharType="separate"/>
          </w:r>
          <w:r>
            <w:t>6</w:t>
          </w:r>
          <w:r>
            <w:fldChar w:fldCharType="end"/>
          </w:r>
          <w:r>
            <w:fldChar w:fldCharType="end"/>
          </w:r>
        </w:p>
        <w:p w14:paraId="0AE996E8">
          <w:pPr>
            <w:pStyle w:val="8"/>
            <w:tabs>
              <w:tab w:val="right" w:leader="dot" w:pos="8305"/>
            </w:tabs>
          </w:pPr>
          <w:r>
            <w:fldChar w:fldCharType="begin"/>
          </w:r>
          <w:r>
            <w:instrText xml:space="preserve"> HYPERLINK \l _Toc20060 </w:instrText>
          </w:r>
          <w:r>
            <w:fldChar w:fldCharType="separate"/>
          </w:r>
          <w:r>
            <w:rPr>
              <w:rFonts w:ascii="Arial" w:hAnsi="Arial" w:eastAsia="等线" w:cs="Arial"/>
            </w:rPr>
            <w:t>3.2 对性能的规定</w:t>
          </w:r>
          <w:r>
            <w:tab/>
          </w:r>
          <w:r>
            <w:fldChar w:fldCharType="begin"/>
          </w:r>
          <w:r>
            <w:instrText xml:space="preserve"> PAGEREF _Toc20060 \h </w:instrText>
          </w:r>
          <w:r>
            <w:fldChar w:fldCharType="separate"/>
          </w:r>
          <w:r>
            <w:t>7</w:t>
          </w:r>
          <w:r>
            <w:fldChar w:fldCharType="end"/>
          </w:r>
          <w:r>
            <w:fldChar w:fldCharType="end"/>
          </w:r>
        </w:p>
        <w:p w14:paraId="66642AD6">
          <w:pPr>
            <w:pStyle w:val="6"/>
            <w:tabs>
              <w:tab w:val="right" w:leader="dot" w:pos="8305"/>
            </w:tabs>
          </w:pPr>
          <w:r>
            <w:fldChar w:fldCharType="begin"/>
          </w:r>
          <w:r>
            <w:instrText xml:space="preserve"> HYPERLINK \l _Toc22565 </w:instrText>
          </w:r>
          <w:r>
            <w:fldChar w:fldCharType="separate"/>
          </w:r>
          <w:r>
            <w:rPr>
              <w:rFonts w:ascii="Arial" w:hAnsi="Arial" w:eastAsia="等线" w:cs="Arial"/>
            </w:rPr>
            <w:t>3.2.1 精度</w:t>
          </w:r>
          <w:r>
            <w:tab/>
          </w:r>
          <w:r>
            <w:fldChar w:fldCharType="begin"/>
          </w:r>
          <w:r>
            <w:instrText xml:space="preserve"> PAGEREF _Toc22565 \h </w:instrText>
          </w:r>
          <w:r>
            <w:fldChar w:fldCharType="separate"/>
          </w:r>
          <w:r>
            <w:t>7</w:t>
          </w:r>
          <w:r>
            <w:fldChar w:fldCharType="end"/>
          </w:r>
          <w:r>
            <w:fldChar w:fldCharType="end"/>
          </w:r>
        </w:p>
        <w:p w14:paraId="1449E99A">
          <w:pPr>
            <w:pStyle w:val="6"/>
            <w:tabs>
              <w:tab w:val="right" w:leader="dot" w:pos="8305"/>
            </w:tabs>
          </w:pPr>
          <w:r>
            <w:fldChar w:fldCharType="begin"/>
          </w:r>
          <w:r>
            <w:instrText xml:space="preserve"> HYPERLINK \l _Toc13449 </w:instrText>
          </w:r>
          <w:r>
            <w:fldChar w:fldCharType="separate"/>
          </w:r>
          <w:r>
            <w:rPr>
              <w:rFonts w:ascii="Arial" w:hAnsi="Arial" w:eastAsia="等线" w:cs="Arial"/>
            </w:rPr>
            <w:t>3.2.2 时间特性要求</w:t>
          </w:r>
          <w:r>
            <w:tab/>
          </w:r>
          <w:r>
            <w:fldChar w:fldCharType="begin"/>
          </w:r>
          <w:r>
            <w:instrText xml:space="preserve"> PAGEREF _Toc13449 \h </w:instrText>
          </w:r>
          <w:r>
            <w:fldChar w:fldCharType="separate"/>
          </w:r>
          <w:r>
            <w:t>7</w:t>
          </w:r>
          <w:r>
            <w:fldChar w:fldCharType="end"/>
          </w:r>
          <w:r>
            <w:fldChar w:fldCharType="end"/>
          </w:r>
        </w:p>
        <w:p w14:paraId="2457BDA4">
          <w:pPr>
            <w:pStyle w:val="6"/>
            <w:tabs>
              <w:tab w:val="right" w:leader="dot" w:pos="8305"/>
            </w:tabs>
          </w:pPr>
          <w:r>
            <w:fldChar w:fldCharType="begin"/>
          </w:r>
          <w:r>
            <w:instrText xml:space="preserve"> HYPERLINK \l _Toc32209 </w:instrText>
          </w:r>
          <w:r>
            <w:fldChar w:fldCharType="separate"/>
          </w:r>
          <w:r>
            <w:rPr>
              <w:rFonts w:ascii="Arial" w:hAnsi="Arial" w:eastAsia="等线" w:cs="Arial"/>
            </w:rPr>
            <w:t>3.2.3 灵活性</w:t>
          </w:r>
          <w:r>
            <w:tab/>
          </w:r>
          <w:r>
            <w:fldChar w:fldCharType="begin"/>
          </w:r>
          <w:r>
            <w:instrText xml:space="preserve"> PAGEREF _Toc32209 \h </w:instrText>
          </w:r>
          <w:r>
            <w:fldChar w:fldCharType="separate"/>
          </w:r>
          <w:r>
            <w:t>7</w:t>
          </w:r>
          <w:r>
            <w:fldChar w:fldCharType="end"/>
          </w:r>
          <w:r>
            <w:fldChar w:fldCharType="end"/>
          </w:r>
        </w:p>
        <w:p w14:paraId="3CC74577">
          <w:pPr>
            <w:pStyle w:val="8"/>
            <w:tabs>
              <w:tab w:val="right" w:leader="dot" w:pos="8305"/>
            </w:tabs>
          </w:pPr>
          <w:r>
            <w:fldChar w:fldCharType="begin"/>
          </w:r>
          <w:r>
            <w:instrText xml:space="preserve"> HYPERLINK \l _Toc25490 </w:instrText>
          </w:r>
          <w:r>
            <w:fldChar w:fldCharType="separate"/>
          </w:r>
          <w:r>
            <w:rPr>
              <w:rFonts w:ascii="Arial" w:hAnsi="Arial" w:eastAsia="等线" w:cs="Arial"/>
            </w:rPr>
            <w:t>3.3 输入输出要求</w:t>
          </w:r>
          <w:r>
            <w:tab/>
          </w:r>
          <w:r>
            <w:fldChar w:fldCharType="begin"/>
          </w:r>
          <w:r>
            <w:instrText xml:space="preserve"> PAGEREF _Toc25490 \h </w:instrText>
          </w:r>
          <w:r>
            <w:fldChar w:fldCharType="separate"/>
          </w:r>
          <w:r>
            <w:t>7</w:t>
          </w:r>
          <w:r>
            <w:fldChar w:fldCharType="end"/>
          </w:r>
          <w:r>
            <w:fldChar w:fldCharType="end"/>
          </w:r>
        </w:p>
        <w:p w14:paraId="4225A58A">
          <w:pPr>
            <w:pStyle w:val="6"/>
            <w:tabs>
              <w:tab w:val="right" w:leader="dot" w:pos="8305"/>
            </w:tabs>
          </w:pPr>
          <w:r>
            <w:fldChar w:fldCharType="begin"/>
          </w:r>
          <w:r>
            <w:instrText xml:space="preserve"> HYPERLINK \l _Toc5811 </w:instrText>
          </w:r>
          <w:r>
            <w:fldChar w:fldCharType="separate"/>
          </w:r>
          <w:r>
            <w:rPr>
              <w:rFonts w:ascii="Arial" w:hAnsi="Arial" w:eastAsia="等线" w:cs="Arial"/>
            </w:rPr>
            <w:t>3.3.1 输入要求</w:t>
          </w:r>
          <w:r>
            <w:tab/>
          </w:r>
          <w:r>
            <w:fldChar w:fldCharType="begin"/>
          </w:r>
          <w:r>
            <w:instrText xml:space="preserve"> PAGEREF _Toc5811 \h </w:instrText>
          </w:r>
          <w:r>
            <w:fldChar w:fldCharType="separate"/>
          </w:r>
          <w:r>
            <w:t>8</w:t>
          </w:r>
          <w:r>
            <w:fldChar w:fldCharType="end"/>
          </w:r>
          <w:r>
            <w:fldChar w:fldCharType="end"/>
          </w:r>
        </w:p>
        <w:p w14:paraId="6ACC3F1A">
          <w:pPr>
            <w:pStyle w:val="6"/>
            <w:tabs>
              <w:tab w:val="right" w:leader="dot" w:pos="8305"/>
            </w:tabs>
          </w:pPr>
          <w:r>
            <w:fldChar w:fldCharType="begin"/>
          </w:r>
          <w:r>
            <w:instrText xml:space="preserve"> HYPERLINK \l _Toc5261 </w:instrText>
          </w:r>
          <w:r>
            <w:fldChar w:fldCharType="separate"/>
          </w:r>
          <w:r>
            <w:rPr>
              <w:rFonts w:ascii="Arial" w:hAnsi="Arial" w:eastAsia="等线" w:cs="Arial"/>
            </w:rPr>
            <w:t>3.3.2 输出要求</w:t>
          </w:r>
          <w:r>
            <w:tab/>
          </w:r>
          <w:r>
            <w:fldChar w:fldCharType="begin"/>
          </w:r>
          <w:r>
            <w:instrText xml:space="preserve"> PAGEREF _Toc5261 \h </w:instrText>
          </w:r>
          <w:r>
            <w:fldChar w:fldCharType="separate"/>
          </w:r>
          <w:r>
            <w:t>8</w:t>
          </w:r>
          <w:r>
            <w:fldChar w:fldCharType="end"/>
          </w:r>
          <w:r>
            <w:fldChar w:fldCharType="end"/>
          </w:r>
        </w:p>
        <w:p w14:paraId="231AC035">
          <w:pPr>
            <w:pStyle w:val="8"/>
            <w:tabs>
              <w:tab w:val="right" w:leader="dot" w:pos="8305"/>
            </w:tabs>
          </w:pPr>
          <w:r>
            <w:fldChar w:fldCharType="begin"/>
          </w:r>
          <w:r>
            <w:instrText xml:space="preserve"> HYPERLINK \l _Toc18424 </w:instrText>
          </w:r>
          <w:r>
            <w:fldChar w:fldCharType="separate"/>
          </w:r>
          <w:r>
            <w:rPr>
              <w:rFonts w:ascii="Arial" w:hAnsi="Arial" w:eastAsia="等线" w:cs="Arial"/>
            </w:rPr>
            <w:t>3.4 数据管理能力要求</w:t>
          </w:r>
          <w:r>
            <w:tab/>
          </w:r>
          <w:r>
            <w:fldChar w:fldCharType="begin"/>
          </w:r>
          <w:r>
            <w:instrText xml:space="preserve"> PAGEREF _Toc18424 \h </w:instrText>
          </w:r>
          <w:r>
            <w:fldChar w:fldCharType="separate"/>
          </w:r>
          <w:r>
            <w:t>8</w:t>
          </w:r>
          <w:r>
            <w:fldChar w:fldCharType="end"/>
          </w:r>
          <w:r>
            <w:fldChar w:fldCharType="end"/>
          </w:r>
        </w:p>
        <w:p w14:paraId="6CA42CF5">
          <w:pPr>
            <w:pStyle w:val="8"/>
            <w:tabs>
              <w:tab w:val="right" w:leader="dot" w:pos="8305"/>
            </w:tabs>
          </w:pPr>
          <w:r>
            <w:fldChar w:fldCharType="begin"/>
          </w:r>
          <w:r>
            <w:instrText xml:space="preserve"> HYPERLINK \l _Toc3772 </w:instrText>
          </w:r>
          <w:r>
            <w:fldChar w:fldCharType="separate"/>
          </w:r>
          <w:r>
            <w:rPr>
              <w:rFonts w:ascii="Arial" w:hAnsi="Arial" w:eastAsia="等线" w:cs="Arial"/>
            </w:rPr>
            <w:t>3.5 故障处理要求</w:t>
          </w:r>
          <w:r>
            <w:tab/>
          </w:r>
          <w:r>
            <w:fldChar w:fldCharType="begin"/>
          </w:r>
          <w:r>
            <w:instrText xml:space="preserve"> PAGEREF _Toc3772 \h </w:instrText>
          </w:r>
          <w:r>
            <w:fldChar w:fldCharType="separate"/>
          </w:r>
          <w:r>
            <w:t>8</w:t>
          </w:r>
          <w:r>
            <w:fldChar w:fldCharType="end"/>
          </w:r>
          <w:r>
            <w:fldChar w:fldCharType="end"/>
          </w:r>
        </w:p>
        <w:p w14:paraId="2CB0A4A5">
          <w:pPr>
            <w:pStyle w:val="8"/>
            <w:tabs>
              <w:tab w:val="right" w:leader="dot" w:pos="8305"/>
            </w:tabs>
          </w:pPr>
          <w:r>
            <w:fldChar w:fldCharType="begin"/>
          </w:r>
          <w:r>
            <w:instrText xml:space="preserve"> HYPERLINK \l _Toc8085 </w:instrText>
          </w:r>
          <w:r>
            <w:fldChar w:fldCharType="separate"/>
          </w:r>
          <w:r>
            <w:rPr>
              <w:rFonts w:ascii="Arial" w:hAnsi="Arial" w:eastAsia="等线" w:cs="Arial"/>
            </w:rPr>
            <w:t>3.6 其他专门要求</w:t>
          </w:r>
          <w:r>
            <w:tab/>
          </w:r>
          <w:r>
            <w:fldChar w:fldCharType="begin"/>
          </w:r>
          <w:r>
            <w:instrText xml:space="preserve"> PAGEREF _Toc8085 \h </w:instrText>
          </w:r>
          <w:r>
            <w:fldChar w:fldCharType="separate"/>
          </w:r>
          <w:r>
            <w:t>9</w:t>
          </w:r>
          <w:r>
            <w:fldChar w:fldCharType="end"/>
          </w:r>
          <w:r>
            <w:fldChar w:fldCharType="end"/>
          </w:r>
        </w:p>
        <w:p w14:paraId="0AA0BD25">
          <w:pPr>
            <w:pStyle w:val="7"/>
            <w:tabs>
              <w:tab w:val="right" w:leader="dot" w:pos="8305"/>
              <w:tab w:val="clear" w:pos="8296"/>
            </w:tabs>
          </w:pPr>
          <w:r>
            <w:fldChar w:fldCharType="begin"/>
          </w:r>
          <w:r>
            <w:instrText xml:space="preserve"> HYPERLINK \l _Toc25872 </w:instrText>
          </w:r>
          <w:r>
            <w:fldChar w:fldCharType="separate"/>
          </w:r>
          <w:r>
            <w:rPr>
              <w:rFonts w:ascii="Arial" w:hAnsi="Arial" w:eastAsia="等线" w:cs="Arial"/>
            </w:rPr>
            <w:t>4 运行环境规定</w:t>
          </w:r>
          <w:r>
            <w:tab/>
          </w:r>
          <w:r>
            <w:fldChar w:fldCharType="begin"/>
          </w:r>
          <w:r>
            <w:instrText xml:space="preserve"> PAGEREF _Toc25872 \h </w:instrText>
          </w:r>
          <w:r>
            <w:fldChar w:fldCharType="separate"/>
          </w:r>
          <w:r>
            <w:t>9</w:t>
          </w:r>
          <w:r>
            <w:fldChar w:fldCharType="end"/>
          </w:r>
          <w:r>
            <w:fldChar w:fldCharType="end"/>
          </w:r>
        </w:p>
        <w:p w14:paraId="3BF075D4">
          <w:pPr>
            <w:pStyle w:val="8"/>
            <w:tabs>
              <w:tab w:val="right" w:leader="dot" w:pos="8305"/>
            </w:tabs>
          </w:pPr>
          <w:r>
            <w:fldChar w:fldCharType="begin"/>
          </w:r>
          <w:r>
            <w:instrText xml:space="preserve"> HYPERLINK \l _Toc30266 </w:instrText>
          </w:r>
          <w:r>
            <w:fldChar w:fldCharType="separate"/>
          </w:r>
          <w:r>
            <w:rPr>
              <w:rFonts w:ascii="Arial" w:hAnsi="Arial" w:eastAsia="等线" w:cs="Arial"/>
            </w:rPr>
            <w:t>4.1 设备</w:t>
          </w:r>
          <w:r>
            <w:tab/>
          </w:r>
          <w:r>
            <w:fldChar w:fldCharType="begin"/>
          </w:r>
          <w:r>
            <w:instrText xml:space="preserve"> PAGEREF _Toc30266 \h </w:instrText>
          </w:r>
          <w:r>
            <w:fldChar w:fldCharType="separate"/>
          </w:r>
          <w:r>
            <w:t>10</w:t>
          </w:r>
          <w:r>
            <w:fldChar w:fldCharType="end"/>
          </w:r>
          <w:r>
            <w:fldChar w:fldCharType="end"/>
          </w:r>
        </w:p>
        <w:p w14:paraId="71445259">
          <w:pPr>
            <w:pStyle w:val="8"/>
            <w:tabs>
              <w:tab w:val="right" w:leader="dot" w:pos="8305"/>
            </w:tabs>
          </w:pPr>
          <w:r>
            <w:fldChar w:fldCharType="begin"/>
          </w:r>
          <w:r>
            <w:instrText xml:space="preserve"> HYPERLINK \l _Toc217 </w:instrText>
          </w:r>
          <w:r>
            <w:fldChar w:fldCharType="separate"/>
          </w:r>
          <w:r>
            <w:rPr>
              <w:rFonts w:ascii="Arial" w:hAnsi="Arial" w:eastAsia="等线" w:cs="Arial"/>
            </w:rPr>
            <w:t>4.2 支持软件</w:t>
          </w:r>
          <w:r>
            <w:tab/>
          </w:r>
          <w:r>
            <w:fldChar w:fldCharType="begin"/>
          </w:r>
          <w:r>
            <w:instrText xml:space="preserve"> PAGEREF _Toc217 \h </w:instrText>
          </w:r>
          <w:r>
            <w:fldChar w:fldCharType="separate"/>
          </w:r>
          <w:r>
            <w:t>10</w:t>
          </w:r>
          <w:r>
            <w:fldChar w:fldCharType="end"/>
          </w:r>
          <w:r>
            <w:fldChar w:fldCharType="end"/>
          </w:r>
        </w:p>
        <w:p w14:paraId="13DF9FE7">
          <w:pPr>
            <w:pStyle w:val="8"/>
            <w:tabs>
              <w:tab w:val="right" w:leader="dot" w:pos="8305"/>
            </w:tabs>
          </w:pPr>
          <w:r>
            <w:fldChar w:fldCharType="begin"/>
          </w:r>
          <w:r>
            <w:instrText xml:space="preserve"> HYPERLINK \l _Toc15833 </w:instrText>
          </w:r>
          <w:r>
            <w:fldChar w:fldCharType="separate"/>
          </w:r>
          <w:r>
            <w:rPr>
              <w:rFonts w:ascii="Arial" w:hAnsi="Arial" w:eastAsia="等线" w:cs="Arial"/>
            </w:rPr>
            <w:t>4.3 接口</w:t>
          </w:r>
          <w:r>
            <w:tab/>
          </w:r>
          <w:r>
            <w:fldChar w:fldCharType="begin"/>
          </w:r>
          <w:r>
            <w:instrText xml:space="preserve"> PAGEREF _Toc15833 \h </w:instrText>
          </w:r>
          <w:r>
            <w:fldChar w:fldCharType="separate"/>
          </w:r>
          <w:r>
            <w:t>11</w:t>
          </w:r>
          <w:r>
            <w:fldChar w:fldCharType="end"/>
          </w:r>
          <w:r>
            <w:fldChar w:fldCharType="end"/>
          </w:r>
        </w:p>
        <w:p w14:paraId="3BAE5474">
          <w:pPr>
            <w:pStyle w:val="8"/>
            <w:tabs>
              <w:tab w:val="right" w:leader="dot" w:pos="8305"/>
            </w:tabs>
          </w:pPr>
          <w:r>
            <w:fldChar w:fldCharType="begin"/>
          </w:r>
          <w:r>
            <w:instrText xml:space="preserve"> HYPERLINK \l _Toc27316 </w:instrText>
          </w:r>
          <w:r>
            <w:fldChar w:fldCharType="separate"/>
          </w:r>
          <w:r>
            <w:rPr>
              <w:rFonts w:ascii="Arial" w:hAnsi="Arial" w:eastAsia="等线" w:cs="Arial"/>
            </w:rPr>
            <w:t>4.4 控制</w:t>
          </w:r>
          <w:r>
            <w:tab/>
          </w:r>
          <w:r>
            <w:fldChar w:fldCharType="begin"/>
          </w:r>
          <w:r>
            <w:instrText xml:space="preserve"> PAGEREF _Toc27316 \h </w:instrText>
          </w:r>
          <w:r>
            <w:fldChar w:fldCharType="separate"/>
          </w:r>
          <w:r>
            <w:t>11</w:t>
          </w:r>
          <w:r>
            <w:fldChar w:fldCharType="end"/>
          </w:r>
          <w:r>
            <w:fldChar w:fldCharType="end"/>
          </w:r>
        </w:p>
        <w:p w14:paraId="1AEF1A3C">
          <w:pPr>
            <w:rPr>
              <w:rFonts w:asciiTheme="minorHAnsi" w:hAnsiTheme="minorHAnsi" w:eastAsiaTheme="minorEastAsia" w:cstheme="minorBidi"/>
              <w:sz w:val="21"/>
              <w:szCs w:val="22"/>
            </w:rPr>
            <w:sectPr>
              <w:headerReference r:id="rId5" w:type="default"/>
              <w:footerReference r:id="rId6" w:type="default"/>
              <w:pgSz w:w="11905" w:h="16840"/>
              <w:cols w:space="720" w:num="1"/>
            </w:sectPr>
          </w:pPr>
          <w:r>
            <w:fldChar w:fldCharType="end"/>
          </w:r>
        </w:p>
      </w:sdtContent>
    </w:sdt>
    <w:p w14:paraId="1276A052">
      <w:pPr>
        <w:rPr>
          <w:rFonts w:asciiTheme="minorHAnsi" w:hAnsiTheme="minorHAnsi" w:eastAsiaTheme="minorEastAsia" w:cstheme="minorBidi"/>
          <w:sz w:val="21"/>
          <w:szCs w:val="22"/>
        </w:rPr>
      </w:pPr>
    </w:p>
    <w:p w14:paraId="6D7BF71B">
      <w:pPr>
        <w:bidi w:val="0"/>
        <w:rPr>
          <w:rFonts w:hint="eastAsia" w:asciiTheme="majorEastAsia" w:hAnsiTheme="majorEastAsia" w:eastAsiaTheme="majorEastAsia" w:cstheme="majorEastAsia"/>
          <w:b/>
          <w:bCs/>
          <w:sz w:val="44"/>
          <w:szCs w:val="44"/>
        </w:rPr>
      </w:pPr>
      <w:bookmarkStart w:id="0" w:name="_Toc3269"/>
      <w:bookmarkStart w:id="1" w:name="heading_0"/>
      <w:bookmarkStart w:id="2" w:name="_Toc1737"/>
      <w:r>
        <w:rPr>
          <w:rFonts w:hint="eastAsia" w:asciiTheme="majorEastAsia" w:hAnsiTheme="majorEastAsia" w:eastAsiaTheme="majorEastAsia" w:cstheme="majorEastAsia"/>
          <w:b/>
          <w:bCs/>
          <w:sz w:val="44"/>
          <w:szCs w:val="44"/>
        </w:rPr>
        <w:t>1引言</w:t>
      </w:r>
      <w:bookmarkEnd w:id="0"/>
      <w:bookmarkEnd w:id="1"/>
      <w:bookmarkEnd w:id="2"/>
    </w:p>
    <w:p w14:paraId="00479DB9">
      <w:pPr>
        <w:spacing w:before="320" w:after="120" w:line="288" w:lineRule="auto"/>
        <w:ind w:left="0"/>
        <w:jc w:val="left"/>
        <w:outlineLvl w:val="1"/>
      </w:pPr>
      <w:bookmarkStart w:id="3" w:name="heading_1"/>
      <w:bookmarkStart w:id="4" w:name="_Toc5034"/>
      <w:bookmarkStart w:id="5" w:name="_Toc30155"/>
      <w:r>
        <w:rPr>
          <w:rFonts w:ascii="Arial" w:hAnsi="Arial" w:eastAsia="等线" w:cs="Arial"/>
          <w:b/>
          <w:sz w:val="32"/>
        </w:rPr>
        <w:t>1.1 编写目的</w:t>
      </w:r>
      <w:bookmarkEnd w:id="3"/>
      <w:bookmarkEnd w:id="4"/>
      <w:bookmarkEnd w:id="5"/>
    </w:p>
    <w:p w14:paraId="2AD6774D">
      <w:pPr>
        <w:keepNext w:val="0"/>
        <w:keepLines w:val="0"/>
        <w:widowControl/>
        <w:suppressLineNumbers w:val="0"/>
        <w:ind w:firstLine="480" w:firstLineChars="200"/>
        <w:jc w:val="left"/>
        <w:rPr>
          <w:rFonts w:hint="default" w:ascii="sans-serif" w:hAnsi="sans-serif" w:eastAsia="sans-serif" w:cs="sans-serif"/>
          <w:kern w:val="0"/>
          <w:sz w:val="24"/>
          <w:szCs w:val="24"/>
          <w:lang w:val="en-US" w:eastAsia="zh-CN" w:bidi="ar"/>
        </w:rPr>
      </w:pPr>
      <w:bookmarkStart w:id="6" w:name="_Toc14036"/>
      <w:bookmarkStart w:id="7" w:name="heading_2"/>
      <w:bookmarkStart w:id="8" w:name="_Toc19645"/>
      <w:r>
        <w:rPr>
          <w:rFonts w:ascii="sans-serif" w:hAnsi="sans-serif" w:eastAsia="sans-serif" w:cs="sans-serif"/>
          <w:kern w:val="0"/>
          <w:sz w:val="24"/>
          <w:szCs w:val="24"/>
          <w:lang w:val="en-US" w:eastAsia="zh-CN" w:bidi="ar"/>
        </w:rPr>
        <w:t>本文档严格遵照国家标准</w:t>
      </w:r>
      <w:r>
        <w:rPr>
          <w:rFonts w:hint="default" w:ascii="Arial" w:hAnsi="Arial" w:eastAsia="sans-serif" w:cs="Arial"/>
          <w:kern w:val="0"/>
          <w:sz w:val="24"/>
          <w:szCs w:val="24"/>
          <w:lang w:val="en-US" w:eastAsia="zh-CN" w:bidi="ar"/>
        </w:rPr>
        <w:t>GB856T-88</w:t>
      </w:r>
      <w:r>
        <w:rPr>
          <w:rFonts w:ascii="sans-serif" w:hAnsi="sans-serif" w:eastAsia="sans-serif" w:cs="sans-serif"/>
          <w:kern w:val="0"/>
          <w:sz w:val="24"/>
          <w:szCs w:val="24"/>
          <w:lang w:val="en-US" w:eastAsia="zh-CN" w:bidi="ar"/>
        </w:rPr>
        <w:t>的规范进行编制，核心宗旨在于全局且精确地界定软件测试过程管理与缺陷跟踪系统的整体需求边界</w:t>
      </w:r>
      <w:r>
        <w:rPr>
          <w:rFonts w:hint="default" w:ascii="sans-serif" w:hAnsi="sans-serif" w:eastAsia="sans-serif" w:cs="sans-serif"/>
          <w:kern w:val="0"/>
          <w:sz w:val="24"/>
          <w:szCs w:val="24"/>
          <w:lang w:val="en-US" w:eastAsia="zh-CN" w:bidi="ar"/>
        </w:rPr>
        <w:t>。</w:t>
      </w:r>
    </w:p>
    <w:p w14:paraId="6EBEA890">
      <w:pPr>
        <w:keepNext w:val="0"/>
        <w:keepLines w:val="0"/>
        <w:widowControl/>
        <w:suppressLineNumbers w:val="0"/>
        <w:ind w:firstLine="480" w:firstLineChars="200"/>
        <w:jc w:val="left"/>
        <w:rPr>
          <w:rFonts w:hint="default"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文档详细阐述了系统在功能矩阵、性能基线、底层数据约束及运行环境等维度的具体技术指标，旨在为后续的系统架构设计、代码开发、质量测试与最终的结项验收提供不可偏离的工程依据。</w:t>
      </w:r>
    </w:p>
    <w:p w14:paraId="3A0A8FB4">
      <w:pPr>
        <w:keepNext w:val="0"/>
        <w:keepLines w:val="0"/>
        <w:widowControl/>
        <w:suppressLineNumbers w:val="0"/>
        <w:ind w:firstLine="480" w:firstLineChars="200"/>
        <w:jc w:val="left"/>
      </w:pPr>
      <w:r>
        <w:rPr>
          <w:rFonts w:hint="default" w:ascii="sans-serif" w:hAnsi="sans-serif" w:eastAsia="sans-serif" w:cs="sans-serif"/>
          <w:kern w:val="0"/>
          <w:sz w:val="24"/>
          <w:szCs w:val="24"/>
          <w:lang w:val="en-US" w:eastAsia="zh-CN" w:bidi="ar"/>
        </w:rPr>
        <w:t>本文档的主要受众群体涵盖项目组内部的项目经理、系统开发工程师、质量保障人员，同时也作为课程指导教师与评审专家进行项目审查的基准审查文件。</w:t>
      </w:r>
      <w:r>
        <w:rPr>
          <w:rFonts w:ascii="宋体" w:hAnsi="宋体" w:eastAsia="宋体" w:cs="宋体"/>
          <w:kern w:val="0"/>
          <w:sz w:val="24"/>
          <w:szCs w:val="24"/>
          <w:lang w:val="en-US" w:eastAsia="zh-CN" w:bidi="ar"/>
        </w:rPr>
        <w:t xml:space="preserve"> </w:t>
      </w:r>
    </w:p>
    <w:p w14:paraId="07B28D03">
      <w:pPr>
        <w:spacing w:before="320" w:after="120" w:line="288" w:lineRule="auto"/>
        <w:ind w:left="0"/>
        <w:jc w:val="left"/>
        <w:outlineLvl w:val="1"/>
      </w:pPr>
      <w:r>
        <w:rPr>
          <w:rFonts w:ascii="Arial" w:hAnsi="Arial" w:eastAsia="等线" w:cs="Arial"/>
          <w:b/>
          <w:sz w:val="32"/>
        </w:rPr>
        <w:t>1.2 背景</w:t>
      </w:r>
      <w:bookmarkEnd w:id="6"/>
      <w:bookmarkEnd w:id="7"/>
      <w:bookmarkEnd w:id="8"/>
    </w:p>
    <w:p w14:paraId="0FFB285F">
      <w:pPr>
        <w:bidi w:val="0"/>
        <w:ind w:firstLine="480" w:firstLineChars="200"/>
      </w:pPr>
      <w:bookmarkStart w:id="9" w:name="heading_3"/>
      <w:bookmarkStart w:id="10" w:name="_Toc18418"/>
      <w:bookmarkStart w:id="11" w:name="_Toc21819"/>
      <w:r>
        <w:t>待开发的软件系统正式定名为软件测试过程管理与缺陷跟踪系统。</w:t>
      </w:r>
    </w:p>
    <w:p w14:paraId="6C0018A5">
      <w:pPr>
        <w:bidi w:val="0"/>
        <w:ind w:firstLine="480" w:firstLineChars="200"/>
      </w:pPr>
      <w:r>
        <w:t>本系统建设任务的提出方与最终验收方为课程指导教师。系统的研发实施方为项目开发小组，核心骨干成员涵盖赵梓元、谢俊楷、申高辉、侯宇能、李文烨及姚子羽。系统的最终高频用户群体包含项目开发小组全体研发人员，他们将利用该系统统筹开发周期内的测试管理工作；同时，系统也面向课程指导教师开放，用于提供全局的进度管控与质量验收视图。</w:t>
      </w:r>
    </w:p>
    <w:p w14:paraId="57DDA4F9">
      <w:pPr>
        <w:bidi w:val="0"/>
        <w:ind w:firstLine="480" w:firstLineChars="200"/>
      </w:pPr>
      <w:r>
        <w:t>该平台定位为一款全栈自包含的独立Web协同系统，部署于通用的Web服务器环境，且不具备任何需要与外部第三方商业系统进行直接交互的边界依赖。</w:t>
      </w:r>
    </w:p>
    <w:p w14:paraId="7E007EA2">
      <w:pPr>
        <w:bidi w:val="0"/>
        <w:ind w:firstLine="480" w:firstLineChars="200"/>
      </w:pPr>
      <w:r>
        <w:rPr>
          <w:rFonts w:hint="eastAsia"/>
          <w:lang w:val="en-US" w:eastAsia="zh-CN"/>
        </w:rPr>
        <w:t>该项目的</w:t>
      </w:r>
      <w:r>
        <w:t xml:space="preserve">核心使命是支撑课程实践项目的高效流转，通过数字化的手段纳管测试计划制定、用例资产沉淀以及缺陷状态流转等质量保障流程，并支持同步生成各类工程所需的过程资产，进而为项目的高质量交付保驾护航。 </w:t>
      </w:r>
    </w:p>
    <w:p w14:paraId="0F7B6573">
      <w:pPr>
        <w:spacing w:before="320" w:after="120" w:line="288" w:lineRule="auto"/>
        <w:ind w:left="0"/>
        <w:jc w:val="left"/>
        <w:outlineLvl w:val="1"/>
      </w:pPr>
      <w:r>
        <w:rPr>
          <w:rFonts w:ascii="Arial" w:hAnsi="Arial" w:eastAsia="等线" w:cs="Arial"/>
          <w:b/>
          <w:sz w:val="32"/>
        </w:rPr>
        <w:t>1.3 定义</w:t>
      </w:r>
      <w:bookmarkEnd w:id="9"/>
      <w:bookmarkEnd w:id="10"/>
      <w:bookmarkEnd w:id="11"/>
    </w:p>
    <w:p w14:paraId="5F5A1653">
      <w:pPr>
        <w:bidi w:val="0"/>
      </w:pPr>
      <w:bookmarkStart w:id="12" w:name="_Toc29295"/>
      <w:bookmarkStart w:id="13" w:name="_Toc29685"/>
      <w:bookmarkStart w:id="14" w:name="heading_4"/>
      <w:r>
        <w:rPr>
          <w:rFonts w:hint="eastAsia"/>
          <w:b/>
          <w:bCs/>
          <w:lang w:val="en-US" w:eastAsia="zh-CN"/>
        </w:rPr>
        <w:t>1.</w:t>
      </w:r>
      <w:r>
        <w:rPr>
          <w:b/>
          <w:bCs/>
        </w:rPr>
        <w:t>测试计划</w:t>
      </w:r>
      <w:r>
        <w:t xml:space="preserve">：针对项目特定研发阶段制定的质量保障策略集合，涵盖测试辐射范围、核心任务拆解、责任人指派及里程碑时间节点等核心元数据。 </w:t>
      </w:r>
    </w:p>
    <w:p w14:paraId="362C0CB8">
      <w:pPr>
        <w:bidi w:val="0"/>
      </w:pPr>
      <w:r>
        <w:rPr>
          <w:rFonts w:hint="eastAsia"/>
          <w:b/>
          <w:bCs/>
          <w:lang w:val="en-US" w:eastAsia="zh-CN"/>
        </w:rPr>
        <w:t>2.</w:t>
      </w:r>
      <w:r>
        <w:rPr>
          <w:b/>
          <w:bCs/>
        </w:rPr>
        <w:t>测试用例</w:t>
      </w:r>
      <w:r>
        <w:t xml:space="preserve">：为验证系统特定业务逻辑是否满足基准需求而设计的标准化操作规程，包含具体的操作步骤序列、输入数据集以及预期输出结果。 </w:t>
      </w:r>
    </w:p>
    <w:p w14:paraId="3A40FE66">
      <w:pPr>
        <w:bidi w:val="0"/>
      </w:pPr>
      <w:r>
        <w:rPr>
          <w:rFonts w:hint="eastAsia"/>
          <w:b/>
          <w:bCs/>
          <w:lang w:val="en-US" w:eastAsia="zh-CN"/>
        </w:rPr>
        <w:t>3.</w:t>
      </w:r>
      <w:r>
        <w:rPr>
          <w:b/>
          <w:bCs/>
        </w:rPr>
        <w:t>缺陷</w:t>
      </w:r>
      <w:r>
        <w:t xml:space="preserve">：系统在任意测试周期内暴露的偏离业务需求、引发应用异常、界面渲染错误或存在潜在逻辑漏洞的工程问题。 </w:t>
      </w:r>
    </w:p>
    <w:p w14:paraId="68D1E19C">
      <w:pPr>
        <w:bidi w:val="0"/>
      </w:pPr>
      <w:r>
        <w:rPr>
          <w:rFonts w:hint="eastAsia"/>
          <w:b/>
          <w:bCs/>
          <w:lang w:val="en-US" w:eastAsia="zh-CN"/>
        </w:rPr>
        <w:t>4.</w:t>
      </w:r>
      <w:r>
        <w:rPr>
          <w:b/>
          <w:bCs/>
        </w:rPr>
        <w:t>缺陷状态流转</w:t>
      </w:r>
      <w:r>
        <w:t xml:space="preserve">：缺陷在平台中经历的完整状态机演进周期，典型的标准闭环必须经过提交新建、审核分配、代码修复、回归验证直至最终关闭或者明确拒绝。 </w:t>
      </w:r>
    </w:p>
    <w:p w14:paraId="20048599">
      <w:pPr>
        <w:bidi w:val="0"/>
      </w:pPr>
      <w:r>
        <w:rPr>
          <w:rFonts w:hint="eastAsia"/>
          <w:b/>
          <w:bCs/>
          <w:lang w:val="en-US" w:eastAsia="zh-CN"/>
        </w:rPr>
        <w:t>5.</w:t>
      </w:r>
      <w:r>
        <w:rPr>
          <w:b/>
          <w:bCs/>
        </w:rPr>
        <w:t>过程文档</w:t>
      </w:r>
      <w:r>
        <w:t>：在软件工程全生命周期内沉淀的规范化资产集，涵盖项目章程、工作分解结构、进度网络图、风险监控登记册、测试执行记录、结项验收材料以及项目复盘总结报告。</w:t>
      </w:r>
    </w:p>
    <w:p w14:paraId="54399BBE">
      <w:pPr>
        <w:spacing w:before="320" w:after="120" w:line="288" w:lineRule="auto"/>
        <w:ind w:left="0"/>
        <w:jc w:val="left"/>
        <w:outlineLvl w:val="1"/>
      </w:pPr>
      <w:r>
        <w:rPr>
          <w:rFonts w:ascii="Arial" w:hAnsi="Arial" w:eastAsia="等线" w:cs="Arial"/>
          <w:b/>
          <w:sz w:val="32"/>
        </w:rPr>
        <w:t>1.4 参考资料</w:t>
      </w:r>
      <w:bookmarkEnd w:id="12"/>
      <w:bookmarkEnd w:id="13"/>
      <w:bookmarkEnd w:id="14"/>
    </w:p>
    <w:p w14:paraId="566E02EA">
      <w:pPr>
        <w:spacing w:before="120" w:after="120" w:line="288" w:lineRule="auto"/>
        <w:ind w:left="0"/>
        <w:jc w:val="left"/>
        <w:rPr>
          <w:rFonts w:ascii="Arial" w:hAnsi="Arial" w:eastAsia="等线" w:cs="Arial"/>
          <w:sz w:val="22"/>
        </w:rPr>
      </w:pPr>
      <w:r>
        <w:rPr>
          <w:rFonts w:hint="eastAsia" w:ascii="Arial" w:hAnsi="Arial" w:eastAsia="等线" w:cs="Arial"/>
          <w:sz w:val="22"/>
          <w:lang w:val="en-US" w:eastAsia="zh-CN"/>
        </w:rPr>
        <w:t>1.</w:t>
      </w:r>
      <w:r>
        <w:rPr>
          <w:rFonts w:ascii="Arial" w:hAnsi="Arial" w:eastAsia="等线" w:cs="Arial"/>
          <w:sz w:val="22"/>
        </w:rPr>
        <w:t>《软件测试过程管理与缺陷跟踪系统项目章程》</w:t>
      </w:r>
    </w:p>
    <w:p w14:paraId="3B3F3B63">
      <w:pPr>
        <w:spacing w:before="120" w:after="120" w:line="288" w:lineRule="auto"/>
        <w:ind w:left="0"/>
        <w:jc w:val="left"/>
      </w:pPr>
      <w:r>
        <w:rPr>
          <w:rFonts w:ascii="Arial" w:hAnsi="Arial" w:eastAsia="等线" w:cs="Arial"/>
          <w:sz w:val="22"/>
        </w:rPr>
        <w:t>2. GB856T-88《计算机软件需求说明编制指南》；</w:t>
      </w:r>
    </w:p>
    <w:p w14:paraId="66DD98C3">
      <w:pPr>
        <w:spacing w:before="120" w:after="120" w:line="288" w:lineRule="auto"/>
        <w:ind w:left="0"/>
        <w:jc w:val="left"/>
      </w:pPr>
      <w:r>
        <w:rPr>
          <w:rFonts w:ascii="Arial" w:hAnsi="Arial" w:eastAsia="等线" w:cs="Arial"/>
          <w:sz w:val="22"/>
        </w:rPr>
        <w:t>3. 课程实践项目任务书；</w:t>
      </w:r>
    </w:p>
    <w:p w14:paraId="045A0153">
      <w:pPr>
        <w:spacing w:before="120" w:after="120" w:line="288" w:lineRule="auto"/>
        <w:ind w:left="0"/>
        <w:jc w:val="left"/>
      </w:pPr>
      <w:r>
        <w:rPr>
          <w:rFonts w:ascii="Arial" w:hAnsi="Arial" w:eastAsia="等线" w:cs="Arial"/>
          <w:sz w:val="22"/>
        </w:rPr>
        <w:t>4. Web系统开发相关技术规范。</w:t>
      </w:r>
    </w:p>
    <w:p w14:paraId="2874B7A9">
      <w:pPr>
        <w:spacing w:before="380" w:after="140" w:line="288" w:lineRule="auto"/>
        <w:ind w:left="0"/>
        <w:jc w:val="left"/>
        <w:outlineLvl w:val="0"/>
        <w:rPr>
          <w:rFonts w:hint="eastAsia" w:asciiTheme="majorEastAsia" w:hAnsiTheme="majorEastAsia" w:eastAsiaTheme="majorEastAsia" w:cstheme="majorEastAsia"/>
          <w:sz w:val="44"/>
          <w:szCs w:val="44"/>
        </w:rPr>
      </w:pPr>
      <w:bookmarkStart w:id="15" w:name="heading_5"/>
      <w:bookmarkStart w:id="16" w:name="_Toc9272"/>
      <w:bookmarkStart w:id="17" w:name="_Toc6859"/>
      <w:r>
        <w:rPr>
          <w:rFonts w:hint="eastAsia" w:asciiTheme="majorEastAsia" w:hAnsiTheme="majorEastAsia" w:eastAsiaTheme="majorEastAsia" w:cstheme="majorEastAsia"/>
          <w:b/>
          <w:sz w:val="44"/>
          <w:szCs w:val="44"/>
        </w:rPr>
        <w:t>2任务概述</w:t>
      </w:r>
      <w:bookmarkEnd w:id="15"/>
      <w:bookmarkEnd w:id="16"/>
      <w:bookmarkEnd w:id="17"/>
    </w:p>
    <w:p w14:paraId="76C3A1AF">
      <w:pPr>
        <w:spacing w:before="320" w:after="120" w:line="288" w:lineRule="auto"/>
        <w:ind w:left="0"/>
        <w:jc w:val="left"/>
        <w:outlineLvl w:val="1"/>
      </w:pPr>
      <w:bookmarkStart w:id="18" w:name="_Toc9796"/>
      <w:bookmarkStart w:id="19" w:name="_Toc3835"/>
      <w:bookmarkStart w:id="20" w:name="heading_6"/>
      <w:r>
        <w:rPr>
          <w:rFonts w:ascii="Arial" w:hAnsi="Arial" w:eastAsia="等线" w:cs="Arial"/>
          <w:b/>
          <w:sz w:val="32"/>
        </w:rPr>
        <w:t>2.1 目标</w:t>
      </w:r>
      <w:bookmarkEnd w:id="18"/>
      <w:bookmarkEnd w:id="19"/>
      <w:bookmarkEnd w:id="20"/>
    </w:p>
    <w:p w14:paraId="006A6AF3">
      <w:pPr>
        <w:bidi w:val="0"/>
        <w:ind w:firstLine="480" w:firstLineChars="200"/>
      </w:pPr>
      <w:bookmarkStart w:id="21" w:name="heading_7"/>
      <w:bookmarkStart w:id="22" w:name="_Toc21178"/>
      <w:bookmarkStart w:id="23" w:name="_Toc10466"/>
      <w:r>
        <w:t>本系统研发的核心工程目标是构建一套轻量、内聚的测试全生命周期管理中枢，专为规范项目小组课程实践的测试操作流而打造。系统的应用生命周期将完整覆盖从2026年4月27日至2026年6月21日的共计八周高强度实践迭代期。</w:t>
      </w:r>
    </w:p>
    <w:p w14:paraId="625F40CC">
      <w:pPr>
        <w:bidi w:val="0"/>
        <w:ind w:firstLine="480" w:firstLineChars="200"/>
      </w:pPr>
      <w:r>
        <w:t xml:space="preserve"> 平台秉持独立运行的设计理念，不依赖其他冗余的外部商业软件，系统内的业务功能需实现彻底闭环。其核心价值在于实现测试计划分配、测试用例维护、缺陷提报、底层状态机驱动流转、多维数据统计追踪以及标准测试报告的自动化生成。</w:t>
      </w:r>
    </w:p>
    <w:p w14:paraId="704D9097">
      <w:pPr>
        <w:bidi w:val="0"/>
        <w:ind w:firstLine="480" w:firstLineChars="200"/>
      </w:pPr>
      <w:r>
        <w:t>系统</w:t>
      </w:r>
      <w:r>
        <w:rPr>
          <w:rFonts w:hint="eastAsia"/>
          <w:lang w:val="en-US" w:eastAsia="zh-CN"/>
        </w:rPr>
        <w:t>还</w:t>
      </w:r>
      <w:r>
        <w:t>需提供过程资产自动化归档的支撑能力，确保项目产出的每一次变更都具备可复现性与可演示性，以顺利通过项目发起人的最终验收。</w:t>
      </w:r>
    </w:p>
    <w:p w14:paraId="4347FEB4">
      <w:pPr>
        <w:spacing w:before="320" w:after="120" w:line="288" w:lineRule="auto"/>
        <w:ind w:left="0"/>
        <w:jc w:val="left"/>
        <w:outlineLvl w:val="1"/>
      </w:pPr>
      <w:r>
        <w:rPr>
          <w:rFonts w:ascii="Arial" w:hAnsi="Arial" w:eastAsia="等线" w:cs="Arial"/>
          <w:b/>
          <w:sz w:val="32"/>
        </w:rPr>
        <w:t>2.2 用户的特点</w:t>
      </w:r>
      <w:bookmarkEnd w:id="21"/>
      <w:bookmarkEnd w:id="22"/>
      <w:bookmarkEnd w:id="23"/>
    </w:p>
    <w:p w14:paraId="0A086187">
      <w:pPr>
        <w:pStyle w:val="9"/>
        <w:keepNext w:val="0"/>
        <w:keepLines w:val="0"/>
        <w:widowControl/>
        <w:suppressLineNumbers w:val="0"/>
        <w:spacing w:before="0" w:beforeAutospacing="0" w:line="17" w:lineRule="atLeast"/>
        <w:ind w:firstLine="480" w:firstLineChars="200"/>
        <w:rPr>
          <w:rFonts w:hint="default" w:ascii="sans-serif" w:hAnsi="sans-serif" w:eastAsia="sans-serif" w:cs="sans-serif"/>
        </w:rPr>
      </w:pPr>
      <w:bookmarkStart w:id="24" w:name="heading_8"/>
      <w:bookmarkStart w:id="25" w:name="_Toc23002"/>
      <w:bookmarkStart w:id="26" w:name="_Toc22362"/>
      <w:r>
        <w:rPr>
          <w:rFonts w:hint="default" w:ascii="sans-serif" w:hAnsi="sans-serif" w:eastAsia="sans-serif" w:cs="sans-serif"/>
        </w:rPr>
        <w:t>项目小组成员具备软件工程相关专业背景，拥有扎实的</w:t>
      </w:r>
      <w:r>
        <w:rPr>
          <w:rFonts w:hint="default" w:ascii="Arial" w:hAnsi="Arial" w:eastAsia="sans-serif" w:cs="Arial"/>
        </w:rPr>
        <w:t>Web</w:t>
      </w:r>
      <w:r>
        <w:rPr>
          <w:rFonts w:hint="default" w:ascii="sans-serif" w:hAnsi="sans-serif" w:eastAsia="sans-serif" w:cs="sans-serif"/>
        </w:rPr>
        <w:t xml:space="preserve">系统交互常识以及基础的研发与测试理论认知，且高度熟悉项目的底层业务运转逻辑。他们作为系统数据的核心生产者，预期每日将高频度登录系统处理测试任务及缺陷追踪，平均每日使用频次达到一至两次。考虑到成员无需具备极高的专业运维技能，前端交互逻辑必须秉持极简与扁平化的设计原则。此外，系统的日常维护与底层部署将由具备基础服务器管理与排障能力的小组成员兼任。 </w:t>
      </w:r>
    </w:p>
    <w:p w14:paraId="78F1B35E">
      <w:pPr>
        <w:pStyle w:val="9"/>
        <w:keepNext w:val="0"/>
        <w:keepLines w:val="0"/>
        <w:widowControl/>
        <w:suppressLineNumbers w:val="0"/>
        <w:spacing w:before="0" w:beforeAutospacing="0" w:line="17" w:lineRule="atLeast"/>
        <w:ind w:firstLine="480" w:firstLineChars="200"/>
        <w:rPr>
          <w:rFonts w:hint="default" w:ascii="sans-serif" w:hAnsi="sans-serif" w:eastAsia="sans-serif" w:cs="sans-serif"/>
        </w:rPr>
      </w:pPr>
      <w:r>
        <w:rPr>
          <w:rFonts w:hint="default" w:ascii="sans-serif" w:hAnsi="sans-serif" w:eastAsia="sans-serif" w:cs="sans-serif"/>
        </w:rPr>
        <w:t xml:space="preserve">课程指导教师具备资深的软件研发管理素养与项目指导经验，深谙软件测试体系的规范准则。教师主要依赖该系统提供的只读审计视图，用于宏观洞察团队的研发进度、缺陷收敛趋势、报表数据以及各类交付资产的合规性。其访问频率预估为中等水平，平均每周登录一至两次，核心诉求在于数据的真实性与业务流程的规范性。 </w:t>
      </w:r>
    </w:p>
    <w:p w14:paraId="31F23683">
      <w:pPr>
        <w:spacing w:before="320" w:after="120" w:line="288" w:lineRule="auto"/>
        <w:ind w:left="0"/>
        <w:jc w:val="left"/>
        <w:outlineLvl w:val="1"/>
      </w:pPr>
      <w:r>
        <w:rPr>
          <w:rFonts w:ascii="Arial" w:hAnsi="Arial" w:eastAsia="等线" w:cs="Arial"/>
          <w:b/>
          <w:sz w:val="32"/>
        </w:rPr>
        <w:t>2.3 假定和约束</w:t>
      </w:r>
      <w:bookmarkEnd w:id="24"/>
      <w:bookmarkEnd w:id="25"/>
      <w:bookmarkEnd w:id="26"/>
    </w:p>
    <w:p w14:paraId="6FEBB7CE">
      <w:pPr>
        <w:bidi w:val="0"/>
      </w:pPr>
      <w:bookmarkStart w:id="27" w:name="_Toc25765"/>
      <w:bookmarkStart w:id="28" w:name="heading_9"/>
      <w:bookmarkStart w:id="29" w:name="_Toc1553"/>
      <w:r>
        <w:rPr>
          <w:rFonts w:hint="eastAsia"/>
          <w:b/>
          <w:bCs/>
          <w:lang w:val="en-US" w:eastAsia="zh-CN"/>
        </w:rPr>
        <w:t>1.</w:t>
      </w:r>
      <w:r>
        <w:rPr>
          <w:b/>
          <w:bCs/>
        </w:rPr>
        <w:t>经费边界约束</w:t>
      </w:r>
      <w:r>
        <w:t xml:space="preserve">：项目全生命周期内的基础设施开销必须严格控制在人民币八百元红线以内，预算绝大部分将被规划用于云服务器租赁及域名解析服务，坚决排斥任何重型硬件或昂贵商业软件的采购计划。 </w:t>
      </w:r>
    </w:p>
    <w:p w14:paraId="31E56DB8">
      <w:pPr>
        <w:bidi w:val="0"/>
      </w:pPr>
      <w:r>
        <w:rPr>
          <w:rFonts w:hint="eastAsia"/>
          <w:b/>
          <w:bCs/>
          <w:lang w:val="en-US" w:eastAsia="zh-CN"/>
        </w:rPr>
        <w:t>2.</w:t>
      </w:r>
      <w:r>
        <w:rPr>
          <w:b/>
          <w:bCs/>
        </w:rPr>
        <w:t>交付期限约束</w:t>
      </w:r>
      <w:r>
        <w:t xml:space="preserve">：项目具备不可逾越的时间壁垒，必须在八周内完成从需求、编码、集成联调到最终的沙盘演示与交付验收，即严格执行2026年4月27日启动与2026年6月21日结项的硬性排期，不存在任何延期缓冲额度。 </w:t>
      </w:r>
    </w:p>
    <w:p w14:paraId="56057EB0">
      <w:pPr>
        <w:bidi w:val="0"/>
      </w:pPr>
      <w:r>
        <w:rPr>
          <w:rFonts w:hint="eastAsia"/>
          <w:b/>
          <w:bCs/>
          <w:lang w:val="en-US" w:eastAsia="zh-CN"/>
        </w:rPr>
        <w:t>3.</w:t>
      </w:r>
      <w:r>
        <w:rPr>
          <w:b/>
          <w:bCs/>
        </w:rPr>
        <w:t>技术栈选择约束</w:t>
      </w:r>
      <w:r>
        <w:t xml:space="preserve">：系统强制要求采用当前主流且成熟的Web工程架构，技术选型池必须完全契合全体研发人员当前的技能图谱，以确保所有成员均能深度参与代码的编写与后续的迭代维护，坚决规避引入认知成本过高的生僻技术框架。 </w:t>
      </w:r>
    </w:p>
    <w:p w14:paraId="75F8A0F5">
      <w:pPr>
        <w:bidi w:val="0"/>
      </w:pPr>
      <w:r>
        <w:rPr>
          <w:rFonts w:hint="eastAsia"/>
          <w:b/>
          <w:bCs/>
          <w:lang w:val="en-US" w:eastAsia="zh-CN"/>
        </w:rPr>
        <w:t>4.</w:t>
      </w:r>
      <w:r>
        <w:rPr>
          <w:b/>
          <w:bCs/>
        </w:rPr>
        <w:t>范围控制约束</w:t>
      </w:r>
      <w:r>
        <w:t xml:space="preserve">：信守价值驱动的敏捷原则，优先保障测试全链路闭环与底层数据可追溯，坚决抵制任何边缘功能的无效堆砌，将核心研发算力倾斜至满足测试业务与过程文档自动化沉淀的需求上。 </w:t>
      </w:r>
    </w:p>
    <w:p w14:paraId="157DC826">
      <w:pPr>
        <w:bidi w:val="0"/>
      </w:pPr>
      <w:r>
        <w:rPr>
          <w:rFonts w:hint="eastAsia"/>
          <w:b/>
          <w:bCs/>
          <w:lang w:val="en-US" w:eastAsia="zh-CN"/>
        </w:rPr>
        <w:t>5.</w:t>
      </w:r>
      <w:r>
        <w:rPr>
          <w:b/>
          <w:bCs/>
        </w:rPr>
        <w:t>外部依赖假定条件</w:t>
      </w:r>
      <w:r>
        <w:t>：假定团队内部的协作矩阵流转顺畅，全员能够切实履行模块责任制并按时参与交叉联调；同时假定各类开发工具链及云端部署环境能够提供高可用服务，期间无阻断性的软硬件灾难发生。</w:t>
      </w:r>
    </w:p>
    <w:p w14:paraId="41F7241D">
      <w:pPr>
        <w:spacing w:before="380" w:after="140" w:line="288" w:lineRule="auto"/>
        <w:ind w:left="0"/>
        <w:jc w:val="left"/>
        <w:outlineLvl w:val="0"/>
        <w:rPr>
          <w:rFonts w:hint="eastAsia" w:ascii="宋体" w:hAnsi="宋体" w:eastAsia="宋体" w:cs="宋体"/>
          <w:sz w:val="44"/>
          <w:szCs w:val="44"/>
        </w:rPr>
      </w:pPr>
      <w:r>
        <w:rPr>
          <w:rFonts w:hint="eastAsia" w:ascii="宋体" w:hAnsi="宋体" w:eastAsia="宋体" w:cs="宋体"/>
          <w:b/>
          <w:sz w:val="44"/>
          <w:szCs w:val="44"/>
        </w:rPr>
        <w:t>3需求规定</w:t>
      </w:r>
      <w:bookmarkEnd w:id="27"/>
      <w:bookmarkEnd w:id="28"/>
      <w:bookmarkEnd w:id="29"/>
    </w:p>
    <w:p w14:paraId="577A6A5C">
      <w:pPr>
        <w:spacing w:before="320" w:after="120" w:line="288" w:lineRule="auto"/>
        <w:ind w:left="0"/>
        <w:jc w:val="left"/>
        <w:outlineLvl w:val="1"/>
      </w:pPr>
      <w:bookmarkStart w:id="30" w:name="heading_10"/>
      <w:bookmarkStart w:id="31" w:name="_Toc32662"/>
      <w:bookmarkStart w:id="32" w:name="_Toc21148"/>
      <w:r>
        <w:rPr>
          <w:rFonts w:ascii="Arial" w:hAnsi="Arial" w:eastAsia="等线" w:cs="Arial"/>
          <w:b/>
          <w:sz w:val="32"/>
        </w:rPr>
        <w:t>3.1 对功能的规定</w:t>
      </w:r>
      <w:bookmarkEnd w:id="30"/>
      <w:bookmarkEnd w:id="31"/>
      <w:bookmarkEnd w:id="32"/>
    </w:p>
    <w:p w14:paraId="507C58C0">
      <w:pPr>
        <w:bidi w:val="0"/>
      </w:pPr>
      <w:bookmarkStart w:id="33" w:name="heading_11"/>
      <w:bookmarkStart w:id="34" w:name="_Toc26466"/>
      <w:bookmarkStart w:id="35" w:name="_Toc4030"/>
      <w:r>
        <w:t>本系统的功能架构遵循模块化解耦的设计原则，明确划分为五大核心业务域，具体的输入输出边界及处理逻辑规定如下：</w:t>
      </w:r>
    </w:p>
    <w:p w14:paraId="043C6EB9">
      <w:pPr>
        <w:spacing w:before="300" w:after="120" w:line="288" w:lineRule="auto"/>
        <w:ind w:left="0"/>
        <w:jc w:val="left"/>
        <w:outlineLvl w:val="2"/>
      </w:pPr>
      <w:r>
        <w:rPr>
          <w:rFonts w:ascii="Arial" w:hAnsi="Arial" w:eastAsia="等线" w:cs="Arial"/>
          <w:b/>
          <w:sz w:val="30"/>
        </w:rPr>
        <w:t>3.1.1 测试计划管理模块</w:t>
      </w:r>
      <w:bookmarkEnd w:id="33"/>
      <w:bookmarkEnd w:id="34"/>
      <w:bookmarkEnd w:id="35"/>
    </w:p>
    <w:p w14:paraId="1B24A179">
      <w:pPr>
        <w:bidi w:val="0"/>
        <w:ind w:firstLine="480" w:firstLineChars="200"/>
      </w:pPr>
      <w:bookmarkStart w:id="36" w:name="heading_12"/>
      <w:bookmarkStart w:id="37" w:name="_Toc10"/>
      <w:bookmarkStart w:id="38" w:name="_Toc12285"/>
      <w:r>
        <w:t xml:space="preserve">输入规范包含计划命名字段、测试辐射范围描述、核心任务拆分、责任人指定、起始与截止时间戳以及补充性的备注信息。 </w:t>
      </w:r>
    </w:p>
    <w:p w14:paraId="325787C0">
      <w:pPr>
        <w:bidi w:val="0"/>
        <w:ind w:firstLine="480" w:firstLineChars="200"/>
      </w:pPr>
      <w:r>
        <w:t xml:space="preserve">处理逻辑由系统引擎负责执行输入参数的完备性与逻辑校验策略，对通过校验的数据进行持久化落盘，并构建基于责任人维度与时间跨度维度的多维聚合查询索引。 </w:t>
      </w:r>
    </w:p>
    <w:p w14:paraId="386C3266">
      <w:pPr>
        <w:bidi w:val="0"/>
        <w:ind w:firstLine="480" w:firstLineChars="200"/>
      </w:pPr>
      <w:r>
        <w:t xml:space="preserve">输出规范需提供结构化的测试计划全景列表及独立详情视图，并支持将计划数据一键序列化导出为标准文字处理文档格式，用以支撑线下资产归档工作。 </w:t>
      </w:r>
    </w:p>
    <w:p w14:paraId="70A5EC1F">
      <w:pPr>
        <w:spacing w:before="300" w:after="120" w:line="288" w:lineRule="auto"/>
        <w:ind w:left="0"/>
        <w:jc w:val="left"/>
        <w:outlineLvl w:val="2"/>
      </w:pPr>
      <w:r>
        <w:rPr>
          <w:rFonts w:ascii="Arial" w:hAnsi="Arial" w:eastAsia="等线" w:cs="Arial"/>
          <w:b/>
          <w:sz w:val="30"/>
        </w:rPr>
        <w:t>3.1.2 测试用例管理模块</w:t>
      </w:r>
      <w:bookmarkEnd w:id="36"/>
      <w:bookmarkEnd w:id="37"/>
      <w:bookmarkEnd w:id="38"/>
    </w:p>
    <w:p w14:paraId="73D57DA9">
      <w:pPr>
        <w:bidi w:val="0"/>
        <w:ind w:firstLine="480" w:firstLineChars="200"/>
      </w:pPr>
      <w:bookmarkStart w:id="39" w:name="_Toc6297"/>
      <w:bookmarkStart w:id="40" w:name="_Toc18440"/>
      <w:bookmarkStart w:id="41" w:name="heading_13"/>
      <w:r>
        <w:t xml:space="preserve">输入规范涵盖用例标准名称、上游所属测试计划的主键标识、关联业务子模块、操作步骤序列集合、环境输入数据集、预期断言输出结果、执行优先级划分以及指派的执行人员。 </w:t>
      </w:r>
    </w:p>
    <w:p w14:paraId="4B2477CB">
      <w:pPr>
        <w:bidi w:val="0"/>
        <w:ind w:firstLine="480" w:firstLineChars="200"/>
      </w:pPr>
      <w:r>
        <w:t xml:space="preserve">处理逻辑负责严格校验用例结构的闭环完整度，建立其与特定测试计划的从属关联表，支撑用例全生命周期的增删改查动作，并利用防篡改日志记录每一次变更的历史版本轨迹。 </w:t>
      </w:r>
    </w:p>
    <w:p w14:paraId="0DC17E23">
      <w:pPr>
        <w:bidi w:val="0"/>
        <w:ind w:firstLine="480" w:firstLineChars="200"/>
      </w:pPr>
      <w:r>
        <w:t xml:space="preserve">输出规范要求呈现层级分明的用例资产台账、详细说明页以及历史执行追踪记录表，并提供基于所属计划、模块归属以及优先级的复合检索过滤面板。 </w:t>
      </w:r>
    </w:p>
    <w:p w14:paraId="5939E9F2">
      <w:pPr>
        <w:spacing w:before="300" w:after="120" w:line="288" w:lineRule="auto"/>
        <w:ind w:left="0"/>
        <w:jc w:val="left"/>
        <w:outlineLvl w:val="2"/>
      </w:pPr>
      <w:r>
        <w:rPr>
          <w:rFonts w:ascii="Arial" w:hAnsi="Arial" w:eastAsia="等线" w:cs="Arial"/>
          <w:b/>
          <w:sz w:val="30"/>
        </w:rPr>
        <w:t>3.1.3 缺陷流转与统计模块</w:t>
      </w:r>
      <w:bookmarkEnd w:id="39"/>
      <w:bookmarkEnd w:id="40"/>
      <w:bookmarkEnd w:id="41"/>
    </w:p>
    <w:p w14:paraId="008643F5">
      <w:pPr>
        <w:bidi w:val="0"/>
        <w:ind w:firstLine="480" w:firstLineChars="200"/>
      </w:pPr>
      <w:bookmarkStart w:id="42" w:name="_Toc20977"/>
      <w:bookmarkStart w:id="43" w:name="heading_14"/>
      <w:bookmarkStart w:id="44" w:name="_Toc29660"/>
      <w:r>
        <w:t xml:space="preserve">输入规范包括缺陷主题、触发模块、复现路径与日志描述、严重级别评估、处理优先级、首发提交人、时间戳、关联的失败用例标识，以及流转周期内触发的审核、修复、回归、关闭等状态指令及处理者的反馈意见。 </w:t>
      </w:r>
    </w:p>
    <w:p w14:paraId="16004F3C">
      <w:pPr>
        <w:bidi w:val="0"/>
        <w:ind w:firstLine="480" w:firstLineChars="200"/>
      </w:pPr>
      <w:r>
        <w:t xml:space="preserve">处理逻辑会将缺陷上下文执行落库操作，并驱动严格的状态机引擎完成缺陷从提交到最终关闭或拒绝的状态演进控制，精准记录每个节点的处理责任人、动作时间及反馈备注，并为后续的洞察分析构建实时数据聚合缓存。 </w:t>
      </w:r>
    </w:p>
    <w:p w14:paraId="6F4BD027">
      <w:pPr>
        <w:bidi w:val="0"/>
        <w:ind w:firstLine="480" w:firstLineChars="200"/>
      </w:pPr>
      <w:r>
        <w:t>输出规范提供缺陷跟踪工作台视图、缺陷全生命周期追踪溯源面板以及基于多维度的直观洞察报表，支持按模块分布、严重程度及当前解决状态进行分类汇总，并允许一键导出统计结果。</w:t>
      </w:r>
    </w:p>
    <w:p w14:paraId="00C56E96">
      <w:pPr>
        <w:spacing w:before="300" w:after="120" w:line="288" w:lineRule="auto"/>
        <w:ind w:left="0"/>
        <w:jc w:val="left"/>
        <w:outlineLvl w:val="2"/>
        <w:rPr>
          <w:rFonts w:ascii="Arial" w:hAnsi="Arial" w:eastAsia="等线" w:cs="Arial"/>
          <w:b/>
          <w:sz w:val="30"/>
        </w:rPr>
      </w:pPr>
      <w:r>
        <w:rPr>
          <w:rFonts w:ascii="Arial" w:hAnsi="Arial" w:eastAsia="等线" w:cs="Arial"/>
          <w:b/>
          <w:sz w:val="30"/>
        </w:rPr>
        <w:t>3.1.4 测试报告生成模块</w:t>
      </w:r>
      <w:bookmarkEnd w:id="42"/>
      <w:bookmarkEnd w:id="43"/>
      <w:bookmarkEnd w:id="44"/>
    </w:p>
    <w:p w14:paraId="0B1496C8">
      <w:pPr>
        <w:bidi w:val="0"/>
        <w:ind w:firstLine="480" w:firstLineChars="200"/>
      </w:pPr>
      <w:r>
        <w:t xml:space="preserve">输入规范指定分析的测试计划标识、对应的用例执行成功失败比率、缺陷收敛统计矩阵、自定义报告抬头、编制者数字签名及产出时间。 </w:t>
      </w:r>
    </w:p>
    <w:p w14:paraId="04C7B69F">
      <w:pPr>
        <w:bidi w:val="0"/>
        <w:ind w:firstLine="480" w:firstLineChars="200"/>
      </w:pPr>
      <w:r>
        <w:t xml:space="preserve">处理逻辑会在系统内触发后端异步聚合任务，自动抽取执行期的各项度量指标数据，融合用户输入的报表基础元数据，套用内部设定的标准排版引擎生成综合性的质量评估审查报告。 </w:t>
      </w:r>
    </w:p>
    <w:p w14:paraId="7A4F3CC3">
      <w:pPr>
        <w:bidi w:val="0"/>
        <w:ind w:firstLine="480" w:firstLineChars="200"/>
      </w:pPr>
      <w:r>
        <w:t xml:space="preserve">输出规范要求产出排版严谨且支持在线二次编辑的富文本测试报告，提供标准文档格式导出能力，直接服务于项目的期末路演验收与学术归档审查。 </w:t>
      </w:r>
    </w:p>
    <w:p w14:paraId="60CE68A2">
      <w:pPr>
        <w:spacing w:before="300" w:after="120" w:line="288" w:lineRule="auto"/>
        <w:ind w:left="0"/>
        <w:jc w:val="left"/>
        <w:outlineLvl w:val="2"/>
        <w:rPr>
          <w:rFonts w:ascii="Arial" w:hAnsi="Arial" w:eastAsia="等线" w:cs="Arial"/>
          <w:b/>
          <w:sz w:val="30"/>
        </w:rPr>
      </w:pPr>
      <w:bookmarkStart w:id="45" w:name="_Toc23828"/>
      <w:bookmarkStart w:id="46" w:name="heading_15"/>
      <w:bookmarkStart w:id="47" w:name="_Toc14760"/>
      <w:r>
        <w:rPr>
          <w:rFonts w:ascii="Arial" w:hAnsi="Arial" w:eastAsia="等线" w:cs="Arial"/>
          <w:b/>
          <w:sz w:val="30"/>
        </w:rPr>
        <w:t>3.1.5 数据与部署集成模块</w:t>
      </w:r>
      <w:bookmarkEnd w:id="45"/>
      <w:bookmarkEnd w:id="46"/>
      <w:bookmarkEnd w:id="47"/>
    </w:p>
    <w:p w14:paraId="307D124A">
      <w:pPr>
        <w:bidi w:val="0"/>
        <w:ind w:firstLine="480" w:firstLineChars="200"/>
      </w:pPr>
      <w:r>
        <w:t xml:space="preserve">输入规范收集系统级的核心环境变量配置、研发组织成员账户凭证、基于角色的资源访问授权策略以及底层依赖的网络与存储部署参数集。 </w:t>
      </w:r>
    </w:p>
    <w:p w14:paraId="0F8E419C">
      <w:pPr>
        <w:bidi w:val="0"/>
        <w:ind w:firstLine="480" w:firstLineChars="200"/>
      </w:pPr>
      <w:r>
        <w:t xml:space="preserve">处理逻辑负责实施严密的权限与会话管理防线，按需隔离系统管理员、普通研发成员与审计教师的业务路由权限，管理全域数据库资源的落盘与定期全量灾备恢复任务，并对外封装极简的系统部署编排指南。 </w:t>
      </w:r>
    </w:p>
    <w:p w14:paraId="58EC8EB2">
      <w:pPr>
        <w:bidi w:val="0"/>
        <w:ind w:firstLine="480" w:firstLineChars="200"/>
      </w:pPr>
      <w:r>
        <w:t xml:space="preserve">输出规范展示可视化的组织架构用户矩阵、角色权限配置拓扑图、物理形态的数据备份压缩包以及标准化的系统部署指南说明书，确保系统跨环境迁移具备极高的可复现性。 </w:t>
      </w:r>
    </w:p>
    <w:p w14:paraId="281589AA">
      <w:pPr>
        <w:bidi w:val="0"/>
        <w:ind w:firstLine="480" w:firstLineChars="200"/>
      </w:pPr>
      <w:r>
        <w:t xml:space="preserve">并发要求规定底层连接池与内存设计需支撑不少于六个终端的稳定长连接，保障项目组成员同时并发操作时的吞吐质量。 </w:t>
      </w:r>
    </w:p>
    <w:p w14:paraId="227C5B5C">
      <w:pPr>
        <w:spacing w:before="320" w:after="120" w:line="288" w:lineRule="auto"/>
        <w:ind w:left="0"/>
        <w:jc w:val="left"/>
        <w:outlineLvl w:val="1"/>
      </w:pPr>
      <w:bookmarkStart w:id="48" w:name="heading_16"/>
      <w:bookmarkStart w:id="49" w:name="_Toc20060"/>
      <w:bookmarkStart w:id="50" w:name="_Toc9243"/>
      <w:r>
        <w:rPr>
          <w:rFonts w:ascii="Arial" w:hAnsi="Arial" w:eastAsia="等线" w:cs="Arial"/>
          <w:b/>
          <w:sz w:val="32"/>
        </w:rPr>
        <w:t>3.2 对性能的规定</w:t>
      </w:r>
      <w:bookmarkEnd w:id="48"/>
      <w:bookmarkEnd w:id="49"/>
      <w:bookmarkEnd w:id="50"/>
    </w:p>
    <w:p w14:paraId="66836BB7">
      <w:pPr>
        <w:spacing w:before="300" w:after="120" w:line="288" w:lineRule="auto"/>
        <w:ind w:left="0"/>
        <w:jc w:val="left"/>
        <w:outlineLvl w:val="2"/>
      </w:pPr>
      <w:bookmarkStart w:id="51" w:name="_Toc11238"/>
      <w:bookmarkStart w:id="52" w:name="heading_17"/>
      <w:bookmarkStart w:id="53" w:name="_Toc22565"/>
      <w:r>
        <w:rPr>
          <w:rFonts w:ascii="Arial" w:hAnsi="Arial" w:eastAsia="等线" w:cs="Arial"/>
          <w:b/>
          <w:sz w:val="30"/>
        </w:rPr>
        <w:t>3.2.1 精度</w:t>
      </w:r>
      <w:bookmarkEnd w:id="51"/>
      <w:bookmarkEnd w:id="52"/>
      <w:bookmarkEnd w:id="53"/>
    </w:p>
    <w:p w14:paraId="6FC0D8E0">
      <w:pPr>
        <w:bidi w:val="0"/>
        <w:ind w:firstLine="480" w:firstLineChars="200"/>
      </w:pPr>
      <w:bookmarkStart w:id="54" w:name="_Toc31571"/>
      <w:bookmarkStart w:id="55" w:name="heading_18"/>
      <w:bookmarkStart w:id="56" w:name="_Toc13449"/>
      <w:r>
        <w:t>针对客户端输入数据，字符型文本载体需严格贴合底层数据表设定的长度约束，例如标题字段严格限制在五十个字符内，描述型长文本约束在五百个字符内。时间与数量等数值型参数必须确保精度对齐，杜绝脏数据注入或信息截断。</w:t>
      </w:r>
    </w:p>
    <w:p w14:paraId="3B99AA9A">
      <w:pPr>
        <w:bidi w:val="0"/>
        <w:ind w:firstLine="480" w:firstLineChars="200"/>
      </w:pPr>
      <w:r>
        <w:t>输出层面要求各类导出报表及统计面板中的计算结果必须与数据库物理存储的原始记录达成百分之百的绝对一致，确保导出文件的排版完整规范且规避任何乱码现象。在所有网络前后端交互、备份流转与恢复流程中，数据传输必须实现零丢失与零篡改。</w:t>
      </w:r>
    </w:p>
    <w:p w14:paraId="13F53952">
      <w:pPr>
        <w:spacing w:before="300" w:after="120" w:line="288" w:lineRule="auto"/>
        <w:ind w:left="0"/>
        <w:jc w:val="left"/>
        <w:outlineLvl w:val="2"/>
      </w:pPr>
      <w:r>
        <w:rPr>
          <w:rFonts w:ascii="Arial" w:hAnsi="Arial" w:eastAsia="等线" w:cs="Arial"/>
          <w:b/>
          <w:sz w:val="30"/>
        </w:rPr>
        <w:t>3.2.2 时间特性要求</w:t>
      </w:r>
      <w:bookmarkEnd w:id="54"/>
      <w:bookmarkEnd w:id="55"/>
      <w:bookmarkEnd w:id="56"/>
    </w:p>
    <w:p w14:paraId="0F0F5D6B">
      <w:pPr>
        <w:bidi w:val="0"/>
        <w:ind w:firstLine="480" w:firstLineChars="200"/>
      </w:pPr>
      <w:bookmarkStart w:id="57" w:name="heading_19"/>
      <w:bookmarkStart w:id="58" w:name="_Toc8274"/>
      <w:bookmarkStart w:id="59" w:name="_Toc32209"/>
      <w:r>
        <w:t>前端用户体验响应时间需达到业内常规标准，骨架页面渲染与首屏加载时长不得超过两秒。针对用例列表与缺陷看板的基础条件检索指令，系统处理响应时间需控制在一秒之内。</w:t>
      </w:r>
    </w:p>
    <w:p w14:paraId="180FC365">
      <w:pPr>
        <w:bidi w:val="0"/>
        <w:ind w:firstLine="480" w:firstLineChars="200"/>
      </w:pPr>
      <w:r>
        <w:t>涉及大量数据分组跨表聚合的复杂报表生成，响应阈值设定为三秒。对于核心业务数据的事务级增删改操作，服务端逻辑计算与数据落库过程需在一秒内完成确认并触发前端视图状态更新。涉及高磁盘输入输出的文档报表导出过程耗时不超过五秒，全库系统数据的快照打包与恢复流程须在十秒内顺利完成。</w:t>
      </w:r>
    </w:p>
    <w:p w14:paraId="0909E2DE">
      <w:pPr>
        <w:spacing w:before="300" w:after="120" w:line="288" w:lineRule="auto"/>
        <w:ind w:left="0"/>
        <w:jc w:val="left"/>
        <w:outlineLvl w:val="2"/>
      </w:pPr>
      <w:r>
        <w:rPr>
          <w:rFonts w:ascii="Arial" w:hAnsi="Arial" w:eastAsia="等线" w:cs="Arial"/>
          <w:b/>
          <w:sz w:val="30"/>
        </w:rPr>
        <w:t>3.2.3 灵活性</w:t>
      </w:r>
      <w:bookmarkEnd w:id="57"/>
      <w:bookmarkEnd w:id="58"/>
      <w:bookmarkEnd w:id="59"/>
    </w:p>
    <w:p w14:paraId="75AF4963">
      <w:pPr>
        <w:bidi w:val="0"/>
        <w:ind w:firstLine="480" w:firstLineChars="200"/>
      </w:pPr>
      <w:bookmarkStart w:id="60" w:name="_Toc25490"/>
      <w:bookmarkStart w:id="61" w:name="heading_20"/>
      <w:bookmarkStart w:id="62" w:name="_Toc24692"/>
      <w:r>
        <w:t>系统应全面兼容现代多端网页浏览环境，适配Chrome、Edge以及Firefox的最新内核，用户无需安装任何本地衍生插件即可展开工作，并且支持根据使用偏好自定义数据网格的排序视图。系统需具备优秀的跨平台部署伸缩能力，无论是宿主于Windows环境还是Linux发行版生态均能稳定运行，面对轻微的服务器网络拓扑重构，仅需调整环境变量即可瞬间适配。当遭遇业务侧提出的轻微变更诉求时，例如增设缺陷严重等级枚举值或调整导出模板排版样式，系统架构必须保障快速响应与低成本修复，且绝不波及主干逻辑稳定性。系统支持对基础字段精度阈值及时间限额配置进行灵活微调以适配未来的规则变更。</w:t>
      </w:r>
    </w:p>
    <w:p w14:paraId="24B48FAD">
      <w:pPr>
        <w:spacing w:before="320" w:after="120" w:line="288" w:lineRule="auto"/>
        <w:ind w:left="0"/>
        <w:jc w:val="left"/>
        <w:outlineLvl w:val="1"/>
      </w:pPr>
      <w:r>
        <w:rPr>
          <w:rFonts w:ascii="Arial" w:hAnsi="Arial" w:eastAsia="等线" w:cs="Arial"/>
          <w:b/>
          <w:sz w:val="32"/>
        </w:rPr>
        <w:t>3.3 输入输出要求</w:t>
      </w:r>
      <w:bookmarkEnd w:id="60"/>
      <w:bookmarkEnd w:id="61"/>
      <w:bookmarkEnd w:id="62"/>
    </w:p>
    <w:p w14:paraId="4A3EF428">
      <w:pPr>
        <w:spacing w:before="300" w:after="120" w:line="288" w:lineRule="auto"/>
        <w:ind w:left="0"/>
        <w:jc w:val="left"/>
        <w:outlineLvl w:val="2"/>
      </w:pPr>
      <w:bookmarkStart w:id="63" w:name="_Toc5811"/>
      <w:bookmarkStart w:id="64" w:name="_Toc6112"/>
      <w:bookmarkStart w:id="65" w:name="heading_21"/>
      <w:r>
        <w:rPr>
          <w:rFonts w:ascii="Arial" w:hAnsi="Arial" w:eastAsia="等线" w:cs="Arial"/>
          <w:b/>
          <w:sz w:val="30"/>
        </w:rPr>
        <w:t>3.3.1 输入要求</w:t>
      </w:r>
      <w:bookmarkEnd w:id="63"/>
      <w:bookmarkEnd w:id="64"/>
      <w:bookmarkEnd w:id="65"/>
    </w:p>
    <w:p w14:paraId="62A60E7B">
      <w:pPr>
        <w:bidi w:val="0"/>
        <w:ind w:firstLine="480" w:firstLineChars="200"/>
      </w:pPr>
      <w:bookmarkStart w:id="66" w:name="heading_22"/>
      <w:bookmarkStart w:id="67" w:name="_Toc14999"/>
      <w:bookmarkStart w:id="68" w:name="_Toc5261"/>
      <w:r>
        <w:t>用户侧的数据注入高度依赖于网页端标准的键鼠外设交互链路，辅以必要的模板批量导入与附件文件上传通道。</w:t>
      </w:r>
    </w:p>
    <w:p w14:paraId="29EEA188">
      <w:pPr>
        <w:bidi w:val="0"/>
        <w:ind w:firstLine="480" w:firstLineChars="200"/>
      </w:pPr>
      <w:r>
        <w:t>所有文本格式输入需全面支持常规的英文字符、数字与主流标点符号体系，后端实施强正则过滤机制以拦截潜在的破坏性特殊字符注入。</w:t>
      </w:r>
    </w:p>
    <w:p w14:paraId="297A7DCA">
      <w:pPr>
        <w:bidi w:val="0"/>
        <w:ind w:firstLine="480" w:firstLineChars="200"/>
      </w:pPr>
      <w:r>
        <w:t>时序记录统一遵从标准的年月日表述规范，将时间精度颗粒度控制到日级别。为降低脏数据的产生频率，业务类型数据需全面依赖于单选下拉菜单及复选组件的约束式输入，例如将缺陷严重程度严格固化为严重、一般与轻微三个维度进行选定。</w:t>
      </w:r>
    </w:p>
    <w:p w14:paraId="27DB4506">
      <w:pPr>
        <w:bidi w:val="0"/>
        <w:ind w:firstLine="480" w:firstLineChars="200"/>
      </w:pPr>
      <w:r>
        <w:t>业务实体的增量未设硬性技术上限，单项目测试用例池总量一般控制在首批一千条记录以内以符合典型课程期内的客观情况。</w:t>
      </w:r>
    </w:p>
    <w:p w14:paraId="2FCB492A">
      <w:pPr>
        <w:spacing w:before="300" w:after="120" w:line="288" w:lineRule="auto"/>
        <w:ind w:left="0"/>
        <w:jc w:val="left"/>
        <w:outlineLvl w:val="2"/>
      </w:pPr>
      <w:r>
        <w:rPr>
          <w:rFonts w:ascii="Arial" w:hAnsi="Arial" w:eastAsia="等线" w:cs="Arial"/>
          <w:b/>
          <w:sz w:val="30"/>
        </w:rPr>
        <w:t>3.3.2 输出要求</w:t>
      </w:r>
      <w:bookmarkEnd w:id="66"/>
      <w:bookmarkEnd w:id="67"/>
      <w:bookmarkEnd w:id="68"/>
    </w:p>
    <w:p w14:paraId="24F18436">
      <w:pPr>
        <w:bidi w:val="0"/>
        <w:ind w:firstLine="480" w:firstLineChars="200"/>
      </w:pPr>
      <w:bookmarkStart w:id="69" w:name="heading_23"/>
      <w:bookmarkStart w:id="70" w:name="_Toc18424"/>
      <w:bookmarkStart w:id="71" w:name="_Toc9774"/>
      <w:r>
        <w:t>系统输出介质矩阵包含高交互网页视图、结构化导出的文字处理软件文档、基于电子表格规范的统计视图以及满足合规备份规范的结构化脚本及文本文件。前端图形界面需贯彻现代人机交互理念，保障界面留白合理、文本对比度清晰、数据表格对齐严密且彻底杜绝乱码。</w:t>
      </w:r>
    </w:p>
    <w:p w14:paraId="5D9C42E0">
      <w:pPr>
        <w:bidi w:val="0"/>
        <w:ind w:firstLine="480" w:firstLineChars="200"/>
      </w:pPr>
      <w:r>
        <w:t>输出文档需要套用严谨格式标准，统一大纲层级与字体行距，确保测试总览、用例合格率、缺陷收敛明细等核心资产无一缺漏。</w:t>
      </w:r>
    </w:p>
    <w:p w14:paraId="4AAE41CF">
      <w:pPr>
        <w:bidi w:val="0"/>
        <w:ind w:firstLine="480" w:firstLineChars="200"/>
      </w:pPr>
      <w:r>
        <w:t>数据报表类输出以标准化表格呈现，涵盖核心表头、准确汇总值及必要的审计备注，同时保留后续二次加工的排序及筛选潜能。当遭遇用户的非法请求时，系统需立刻弹出语意精准的阻断反馈框，明示异常诱因以指导用户修正。</w:t>
      </w:r>
    </w:p>
    <w:p w14:paraId="5B2C85D5">
      <w:pPr>
        <w:spacing w:before="320" w:after="120" w:line="288" w:lineRule="auto"/>
        <w:ind w:left="0"/>
        <w:jc w:val="left"/>
        <w:outlineLvl w:val="1"/>
      </w:pPr>
      <w:r>
        <w:rPr>
          <w:rFonts w:ascii="Arial" w:hAnsi="Arial" w:eastAsia="等线" w:cs="Arial"/>
          <w:b/>
          <w:sz w:val="32"/>
        </w:rPr>
        <w:t>3.4 数据管理能力要求</w:t>
      </w:r>
      <w:bookmarkEnd w:id="69"/>
      <w:bookmarkEnd w:id="70"/>
      <w:bookmarkEnd w:id="71"/>
    </w:p>
    <w:p w14:paraId="3B4E1FA3">
      <w:pPr>
        <w:bidi w:val="0"/>
        <w:ind w:firstLine="480" w:firstLineChars="200"/>
      </w:pPr>
      <w:bookmarkStart w:id="72" w:name="_Toc3772"/>
      <w:bookmarkStart w:id="73" w:name="heading_24"/>
      <w:bookmarkStart w:id="74" w:name="_Toc7203"/>
      <w:r>
        <w:t>底层数据库将集中纳管覆盖计划、用例、缺陷流转记录及内部日志在内的全套核心业务载体。主流程测试计划数量阈值通常不超过十个，优质测试用例规模上限约为一千条，全局缺陷生命周期记录在五百条以内，最终阶段审查报告的生成频次控制在十份以内，系统内部协同控制账户维持在十个以下。</w:t>
      </w:r>
    </w:p>
    <w:p w14:paraId="5AFD1B09">
      <w:pPr>
        <w:bidi w:val="0"/>
        <w:ind w:firstLine="480" w:firstLineChars="200"/>
      </w:pPr>
      <w:r>
        <w:t>依托关系型数据库的设计方案，整库总存储开销能够毫无压力地控制在一百兆字节以内，能够从容支持长周期的冷热数据存储并完成毫秒级的定时灾备归档。</w:t>
      </w:r>
    </w:p>
    <w:p w14:paraId="4F774A7A">
      <w:pPr>
        <w:bidi w:val="0"/>
        <w:ind w:firstLine="480" w:firstLineChars="200"/>
      </w:pPr>
      <w:r>
        <w:t>面对项目推进过程中业务实体按照每周百分之十的常态化递增趋势，系统索引设计完全能够消化该增长斜率带来的开销，保证查询检索速度始终不会产生任何体感层面的退化。</w:t>
      </w:r>
    </w:p>
    <w:p w14:paraId="5107B68D">
      <w:pPr>
        <w:spacing w:before="320" w:after="120" w:line="288" w:lineRule="auto"/>
        <w:ind w:left="0"/>
        <w:jc w:val="left"/>
        <w:outlineLvl w:val="1"/>
      </w:pPr>
      <w:r>
        <w:rPr>
          <w:rFonts w:ascii="Arial" w:hAnsi="Arial" w:eastAsia="等线" w:cs="Arial"/>
          <w:b/>
          <w:sz w:val="32"/>
        </w:rPr>
        <w:t>3.5 故障处理要求</w:t>
      </w:r>
      <w:bookmarkEnd w:id="72"/>
      <w:bookmarkEnd w:id="73"/>
      <w:bookmarkEnd w:id="74"/>
    </w:p>
    <w:p w14:paraId="76A3E0C3">
      <w:pPr>
        <w:bidi w:val="0"/>
        <w:ind w:firstLine="480" w:firstLineChars="200"/>
      </w:pPr>
      <w:bookmarkStart w:id="75" w:name="_Toc8085"/>
      <w:bookmarkStart w:id="76" w:name="heading_25"/>
      <w:bookmarkStart w:id="77" w:name="_Toc13379"/>
      <w:r>
        <w:t>软件级异常场景中，若遭遇前端网络加载中断，系统应友好阻断并提示用户刷新，同时静默上报堆栈日志，研发团队承诺在一小时闭环排障工作。</w:t>
      </w:r>
    </w:p>
    <w:p w14:paraId="66562503">
      <w:pPr>
        <w:bidi w:val="0"/>
        <w:ind w:firstLine="480" w:firstLineChars="200"/>
      </w:pPr>
      <w:r>
        <w:t>当底层数据增删改事务处理失败，系统必须触发强事务回滚，提示用户排查输入合法性及网络链路状态，确保零脏数据落盘。</w:t>
      </w:r>
    </w:p>
    <w:p w14:paraId="52546C5F">
      <w:pPr>
        <w:bidi w:val="0"/>
        <w:ind w:firstLine="480" w:firstLineChars="200"/>
      </w:pPr>
      <w:r>
        <w:t>面对报表导出引擎偶发的进程堵塞，系统需第一时间拦截异常，提供前端直观的数据展示供用户进行手动纯文本拷贝的降级方案，维护人员在后台启动并行追查。</w:t>
      </w:r>
    </w:p>
    <w:p w14:paraId="13BACAAE">
      <w:pPr>
        <w:bidi w:val="0"/>
        <w:ind w:firstLine="480" w:firstLineChars="200"/>
      </w:pPr>
      <w:r>
        <w:t>针对各类跨越安全边界的路由请求，权限拦截器会执行强重定向，提示权限越界并交由系统全局管理员介入接管处理。</w:t>
      </w:r>
    </w:p>
    <w:p w14:paraId="61118ACB">
      <w:pPr>
        <w:bidi w:val="0"/>
        <w:ind w:firstLine="480" w:firstLineChars="200"/>
      </w:pPr>
      <w:r>
        <w:t>基础设施层面遭遇云服务器宕机等重大物理隔离故障时，运维组将于两小时内利用最新冷备数据在健康主机上完成环境重构以挽救关键业务数据。</w:t>
      </w:r>
    </w:p>
    <w:p w14:paraId="01F04F20">
      <w:pPr>
        <w:bidi w:val="0"/>
        <w:ind w:firstLine="480" w:firstLineChars="200"/>
      </w:pPr>
      <w:r>
        <w:rPr>
          <w:rFonts w:hint="eastAsia"/>
        </w:rPr>
        <w:t xml:space="preserve"> </w:t>
      </w:r>
      <w:r>
        <w:t>一切故障的最高处置原则为力保数据的安全性与原子一致性，若遭遇影响验收进度的重大宕机事故，需第一时间向上反馈至指导教师评估。</w:t>
      </w:r>
    </w:p>
    <w:p w14:paraId="1D259DFC">
      <w:pPr>
        <w:spacing w:before="320" w:after="120" w:line="288" w:lineRule="auto"/>
        <w:ind w:left="0"/>
        <w:jc w:val="left"/>
        <w:outlineLvl w:val="1"/>
      </w:pPr>
      <w:r>
        <w:rPr>
          <w:rFonts w:ascii="Arial" w:hAnsi="Arial" w:eastAsia="等线" w:cs="Arial"/>
          <w:b/>
          <w:sz w:val="32"/>
        </w:rPr>
        <w:t>3.6 其他专门要求</w:t>
      </w:r>
      <w:bookmarkEnd w:id="75"/>
      <w:bookmarkEnd w:id="76"/>
      <w:bookmarkEnd w:id="77"/>
    </w:p>
    <w:p w14:paraId="6EF9F4EB">
      <w:pPr>
        <w:bidi w:val="0"/>
      </w:pPr>
      <w:bookmarkStart w:id="78" w:name="_Toc25872"/>
      <w:bookmarkStart w:id="79" w:name="_Toc20826"/>
      <w:bookmarkStart w:id="80" w:name="heading_26"/>
      <w:r>
        <w:rPr>
          <w:rFonts w:hint="eastAsia"/>
          <w:lang w:val="en-US" w:eastAsia="zh-CN"/>
        </w:rPr>
        <w:t>1.</w:t>
      </w:r>
      <w:r>
        <w:t>本平台实施严格的安全防线与权限隔离墙体系，坚决拒绝公网匿名访问嗅探，强制推行基于账号口令鉴权的安全接入模式。</w:t>
      </w:r>
    </w:p>
    <w:p w14:paraId="12085CA6">
      <w:pPr>
        <w:bidi w:val="0"/>
      </w:pPr>
      <w:r>
        <w:rPr>
          <w:rFonts w:hint="eastAsia"/>
          <w:lang w:val="en-US" w:eastAsia="zh-CN"/>
        </w:rPr>
        <w:t>2.</w:t>
      </w:r>
      <w:r>
        <w:t>通过细颗粒度的角色权限模型分配业务边界，最高管理员统筹全局设置，开发工程师仅能处理指派到个人的业务范畴，指导教师被限制为具备全域穿透查看权限的旁路审计者角色。</w:t>
      </w:r>
    </w:p>
    <w:p w14:paraId="50E7C3C7">
      <w:pPr>
        <w:bidi w:val="0"/>
      </w:pPr>
      <w:r>
        <w:rPr>
          <w:rFonts w:hint="eastAsia"/>
          <w:lang w:val="en-US" w:eastAsia="zh-CN"/>
        </w:rPr>
        <w:t>3.</w:t>
      </w:r>
      <w:r>
        <w:t>人机交互层面需秉持防呆设计哲学以降低学习爬坡成本，高频工作台视图需实现关键信息的即时触达与任务引导。</w:t>
      </w:r>
    </w:p>
    <w:p w14:paraId="7ACE24A5">
      <w:pPr>
        <w:bidi w:val="0"/>
      </w:pPr>
      <w:r>
        <w:rPr>
          <w:rFonts w:hint="eastAsia"/>
          <w:lang w:val="en-US" w:eastAsia="zh-CN"/>
        </w:rPr>
        <w:t>4.</w:t>
      </w:r>
      <w:r>
        <w:t>工程代码库须严格执行模块化编写准则及规范注释规范，保障团队间的高效代码审查及后续接手维护，数据层预留批量数据操作扩展接口以支撑弹性的非破坏性扩容。</w:t>
      </w:r>
    </w:p>
    <w:p w14:paraId="7E382BFE">
      <w:pPr>
        <w:bidi w:val="0"/>
      </w:pPr>
      <w:r>
        <w:rPr>
          <w:rFonts w:hint="eastAsia"/>
          <w:lang w:val="en-US" w:eastAsia="zh-CN"/>
        </w:rPr>
        <w:t>5.</w:t>
      </w:r>
      <w:r>
        <w:t>系统在架构层面保障长时段下的高可用性与零内存泄漏，杜绝闪退现象，保证核心用例库及缺陷机引擎的逻辑闭环绝对稳定。</w:t>
      </w:r>
    </w:p>
    <w:p w14:paraId="0872445F">
      <w:pPr>
        <w:bidi w:val="0"/>
      </w:pPr>
      <w:r>
        <w:rPr>
          <w:rFonts w:hint="eastAsia"/>
          <w:lang w:val="en-US" w:eastAsia="zh-CN"/>
        </w:rPr>
        <w:t>6.</w:t>
      </w:r>
      <w:r>
        <w:t>容器化或自动化脚本编排保障了系统能在不同底层宿主机平台完成快速且低成本的环境迁移及复现。</w:t>
      </w:r>
    </w:p>
    <w:p w14:paraId="32FFE187">
      <w:pPr>
        <w:spacing w:before="380" w:after="140" w:line="288" w:lineRule="auto"/>
        <w:ind w:left="0"/>
        <w:jc w:val="left"/>
        <w:outlineLvl w:val="0"/>
        <w:rPr>
          <w:rFonts w:hint="eastAsia" w:ascii="宋体" w:hAnsi="宋体" w:eastAsia="宋体" w:cs="宋体"/>
          <w:sz w:val="44"/>
          <w:szCs w:val="44"/>
        </w:rPr>
      </w:pPr>
      <w:r>
        <w:rPr>
          <w:rFonts w:hint="eastAsia" w:ascii="宋体" w:hAnsi="宋体" w:eastAsia="宋体" w:cs="宋体"/>
          <w:b/>
          <w:sz w:val="44"/>
          <w:szCs w:val="44"/>
        </w:rPr>
        <w:t>4运行环境规定</w:t>
      </w:r>
      <w:bookmarkEnd w:id="78"/>
      <w:bookmarkEnd w:id="79"/>
      <w:bookmarkEnd w:id="80"/>
    </w:p>
    <w:p w14:paraId="759C9076">
      <w:pPr>
        <w:spacing w:before="320" w:after="120" w:line="288" w:lineRule="auto"/>
        <w:ind w:left="0"/>
        <w:jc w:val="left"/>
        <w:outlineLvl w:val="1"/>
      </w:pPr>
      <w:bookmarkStart w:id="81" w:name="_Toc30266"/>
      <w:bookmarkStart w:id="82" w:name="heading_27"/>
      <w:bookmarkStart w:id="83" w:name="_Toc3940"/>
      <w:r>
        <w:rPr>
          <w:rFonts w:ascii="Arial" w:hAnsi="Arial" w:eastAsia="等线" w:cs="Arial"/>
          <w:b/>
          <w:sz w:val="32"/>
        </w:rPr>
        <w:t>4.1 设备</w:t>
      </w:r>
      <w:bookmarkEnd w:id="81"/>
      <w:bookmarkEnd w:id="82"/>
      <w:bookmarkEnd w:id="83"/>
    </w:p>
    <w:p w14:paraId="0B4956E7">
      <w:pPr>
        <w:bidi w:val="0"/>
      </w:pPr>
      <w:r>
        <w:t>1. 服务器设备：</w:t>
      </w:r>
    </w:p>
    <w:p w14:paraId="59C01C97">
      <w:pPr>
        <w:bidi w:val="0"/>
      </w:pPr>
      <w:r>
        <w:t>（1）处理器：Intel Core i5及以上，或同等性能的AMD处理器；</w:t>
      </w:r>
    </w:p>
    <w:p w14:paraId="5D46D199">
      <w:pPr>
        <w:bidi w:val="0"/>
      </w:pPr>
      <w:r>
        <w:t>（2）内存容量：不少于8GB；</w:t>
      </w:r>
    </w:p>
    <w:p w14:paraId="0F94C9B3">
      <w:pPr>
        <w:bidi w:val="0"/>
      </w:pPr>
      <w:r>
        <w:t>（3）外存容量：不少于100GB，支持联机存储，存储格式为NTFS或EXT4；</w:t>
      </w:r>
    </w:p>
    <w:p w14:paraId="164A88A4">
      <w:pPr>
        <w:bidi w:val="0"/>
      </w:pPr>
      <w:r>
        <w:t>（4）网络适配器：支持千兆以太网，确保网络连接稳定。</w:t>
      </w:r>
    </w:p>
    <w:p w14:paraId="06EACB05">
      <w:pPr>
        <w:bidi w:val="0"/>
      </w:pPr>
      <w:r>
        <w:t>2. 客户端设备：</w:t>
      </w:r>
    </w:p>
    <w:p w14:paraId="626B0F1A">
      <w:pPr>
        <w:bidi w:val="0"/>
      </w:pPr>
      <w:r>
        <w:t>（1）处理器：Intel Core i3及以上，或同等性能的AMD处理器；</w:t>
      </w:r>
    </w:p>
    <w:p w14:paraId="665626B7">
      <w:pPr>
        <w:bidi w:val="0"/>
      </w:pPr>
      <w:r>
        <w:t>（2）内存容量：不少于4GB；</w:t>
      </w:r>
    </w:p>
    <w:p w14:paraId="64D63296">
      <w:pPr>
        <w:bidi w:val="0"/>
      </w:pPr>
      <w:r>
        <w:t>（3）输入设备：键盘、鼠标；</w:t>
      </w:r>
    </w:p>
    <w:p w14:paraId="2E9B505A">
      <w:pPr>
        <w:bidi w:val="0"/>
      </w:pPr>
      <w:r>
        <w:t>（4）输出设备：显示器（分辨率不低于1366×768，确保页面正常显示）、打印机。</w:t>
      </w:r>
    </w:p>
    <w:p w14:paraId="65C6D782">
      <w:pPr>
        <w:bidi w:val="0"/>
      </w:pPr>
      <w:r>
        <w:t>3. 数据通信设备：无特殊要求，依托现有校园网络或家庭网络即可，确保网络连接稳定，带宽不少于10Mbps。</w:t>
      </w:r>
    </w:p>
    <w:p w14:paraId="3CDC29BF">
      <w:pPr>
        <w:spacing w:before="320" w:after="120" w:line="288" w:lineRule="auto"/>
        <w:ind w:left="0"/>
        <w:jc w:val="left"/>
        <w:outlineLvl w:val="1"/>
      </w:pPr>
      <w:bookmarkStart w:id="84" w:name="_Toc217"/>
      <w:bookmarkStart w:id="85" w:name="_Toc1095"/>
      <w:bookmarkStart w:id="86" w:name="heading_28"/>
      <w:r>
        <w:rPr>
          <w:rFonts w:ascii="Arial" w:hAnsi="Arial" w:eastAsia="等线" w:cs="Arial"/>
          <w:b/>
          <w:sz w:val="32"/>
        </w:rPr>
        <w:t>4.2 支持软件</w:t>
      </w:r>
      <w:bookmarkEnd w:id="84"/>
      <w:bookmarkEnd w:id="85"/>
      <w:bookmarkEnd w:id="86"/>
    </w:p>
    <w:p w14:paraId="2B0D763C">
      <w:pPr>
        <w:bidi w:val="0"/>
      </w:pPr>
      <w:r>
        <w:t>1. 操作系统：</w:t>
      </w:r>
    </w:p>
    <w:p w14:paraId="470E7F23">
      <w:pPr>
        <w:bidi w:val="0"/>
      </w:pPr>
      <w:r>
        <w:t>（1）服务器端：Windows Server 2019及以上，或Linux（Ubuntu 20.04及以上、CentOS 8及以上）；</w:t>
      </w:r>
    </w:p>
    <w:p w14:paraId="5EAB3B17">
      <w:pPr>
        <w:bidi w:val="0"/>
      </w:pPr>
      <w:r>
        <w:t>（2）客户端：Windows 10及以上、macOS 10.15及以上，支持主流浏览器（Chrome 100.0及以上、Edge 100.0及以上、Firefox 95.0及以上）。</w:t>
      </w:r>
    </w:p>
    <w:p w14:paraId="3FD1309C">
      <w:pPr>
        <w:bidi w:val="0"/>
      </w:pPr>
      <w:r>
        <w:t>2. 数据库软件：MySQL 8.0及以上（用于存储系统所有业务数据）。</w:t>
      </w:r>
    </w:p>
    <w:p w14:paraId="218E7CEB">
      <w:pPr>
        <w:bidi w:val="0"/>
      </w:pPr>
      <w:r>
        <w:t>3.  Web服务器软件：Tomcat 9.0及以上，或Nginx 1.20及以上。</w:t>
      </w:r>
    </w:p>
    <w:p w14:paraId="04F29D06">
      <w:pPr>
        <w:bidi w:val="0"/>
      </w:pPr>
      <w:r>
        <w:t>4. 开发与测试支持软件：</w:t>
      </w:r>
    </w:p>
    <w:p w14:paraId="5ADF802B">
      <w:pPr>
        <w:bidi w:val="0"/>
      </w:pPr>
      <w:r>
        <w:t>（1）开发工具：IntelliJ IDEA、VS Code等（用于系统代码开发）；</w:t>
      </w:r>
    </w:p>
    <w:p w14:paraId="3E2564D2">
      <w:pPr>
        <w:bidi w:val="0"/>
      </w:pPr>
      <w:r>
        <w:t>（2）测试工具：Postman（用于接口测试）、Chrome开发者工具（用于页面测试）；</w:t>
      </w:r>
    </w:p>
    <w:p w14:paraId="6D1FB425">
      <w:pPr>
        <w:bidi w:val="0"/>
      </w:pPr>
      <w:r>
        <w:t>（3）文档编辑工具：Microsoft Word、WPS（用于过程文档和测试报告编辑）。</w:t>
      </w:r>
    </w:p>
    <w:p w14:paraId="7B42C3CC">
      <w:pPr>
        <w:spacing w:before="320" w:after="120" w:line="288" w:lineRule="auto"/>
        <w:ind w:left="0"/>
        <w:jc w:val="left"/>
        <w:outlineLvl w:val="1"/>
      </w:pPr>
      <w:bookmarkStart w:id="87" w:name="_Toc15833"/>
      <w:bookmarkStart w:id="88" w:name="_Toc3015"/>
      <w:bookmarkStart w:id="89" w:name="heading_29"/>
      <w:r>
        <w:rPr>
          <w:rFonts w:ascii="Arial" w:hAnsi="Arial" w:eastAsia="等线" w:cs="Arial"/>
          <w:b/>
          <w:sz w:val="32"/>
        </w:rPr>
        <w:t>4.3 接口</w:t>
      </w:r>
      <w:bookmarkEnd w:id="87"/>
      <w:bookmarkEnd w:id="88"/>
      <w:bookmarkEnd w:id="89"/>
    </w:p>
    <w:p w14:paraId="785BA2FA">
      <w:pPr>
        <w:bidi w:val="0"/>
      </w:pPr>
      <w:r>
        <w:t>1. 系统内部接口：Web前端与后端接口采用HTTP/HTTPS协议，数据传输格式为JSON，确保数据交互的规范性和安全性；后端与数据库接口采用JDBC协议，实现数据的增删改查操作。</w:t>
      </w:r>
    </w:p>
    <w:p w14:paraId="7360A294">
      <w:pPr>
        <w:bidi w:val="0"/>
      </w:pPr>
      <w:r>
        <w:t>2. 外部接口：本系统无外部系统接口，不与其他软件或系统进行数据交互，所有功能均为内部闭环。</w:t>
      </w:r>
    </w:p>
    <w:p w14:paraId="7BB19F6C">
      <w:pPr>
        <w:bidi w:val="0"/>
      </w:pPr>
      <w:r>
        <w:t>3. 接口要求：接口响应稳定，无频繁超时或异常；接口参数规范，明确输入输出格式，便于开发和测试人员对接。</w:t>
      </w:r>
    </w:p>
    <w:p w14:paraId="6FE66A0C">
      <w:pPr>
        <w:spacing w:before="320" w:after="120" w:line="288" w:lineRule="auto"/>
        <w:ind w:left="0"/>
        <w:jc w:val="left"/>
        <w:outlineLvl w:val="1"/>
      </w:pPr>
      <w:bookmarkStart w:id="90" w:name="heading_30"/>
      <w:bookmarkStart w:id="91" w:name="_Toc27316"/>
      <w:bookmarkStart w:id="92" w:name="_Toc10562"/>
      <w:r>
        <w:rPr>
          <w:rFonts w:ascii="Arial" w:hAnsi="Arial" w:eastAsia="等线" w:cs="Arial"/>
          <w:b/>
          <w:sz w:val="32"/>
        </w:rPr>
        <w:t>4.4 控制</w:t>
      </w:r>
      <w:bookmarkEnd w:id="90"/>
      <w:bookmarkEnd w:id="91"/>
      <w:bookmarkEnd w:id="92"/>
    </w:p>
    <w:p w14:paraId="64971E99">
      <w:pPr>
        <w:bidi w:val="0"/>
      </w:pPr>
      <w:r>
        <w:t>1. 运行控制：系统通过Web服务器启动和停止，管理员可通过服务器管理工具控制系统的启动、停止和重启；用户通过浏览器登录系统，根据自身权限进行对应操作，控制自身负责的模块功能。</w:t>
      </w:r>
    </w:p>
    <w:p w14:paraId="3F8B19D2">
      <w:pPr>
        <w:bidi w:val="0"/>
      </w:pPr>
      <w:r>
        <w:t>2. 控制信号：</w:t>
      </w:r>
    </w:p>
    <w:p w14:paraId="52378DF2">
      <w:pPr>
        <w:bidi w:val="0"/>
      </w:pPr>
      <w:r>
        <w:t>（1）启动信号：管理员启动Web服务器和数据库服务，系统开始运行，用户可通过浏览器访问系统；</w:t>
      </w:r>
    </w:p>
    <w:p w14:paraId="23836B09">
      <w:pPr>
        <w:bidi w:val="0"/>
      </w:pPr>
      <w:r>
        <w:t>（2）停止信号：管理员停止Web服务器或数据库服务，系统停止运行，用户无法访问；</w:t>
      </w:r>
    </w:p>
    <w:p w14:paraId="23B04A2C">
      <w:pPr>
        <w:bidi w:val="0"/>
      </w:pPr>
      <w:r>
        <w:t>（3）操作控制信号：用户通过鼠标点击、键盘输入等操作发送控制信号（如提交缺陷、生成报告），系统接收信号后执行对应操作，并返回操作结果。</w:t>
      </w:r>
    </w:p>
    <w:p w14:paraId="44D2008F">
      <w:pPr>
        <w:bidi w:val="0"/>
      </w:pPr>
      <w:r>
        <w:t>3. 控制信号来源：启动、停止信号来源于系统管理员；用户操作控制信号来源于项目小组成员和课程指导教师。</w:t>
      </w:r>
    </w:p>
    <w:p w14:paraId="2D20D424">
      <w:pPr>
        <w:spacing w:before="120" w:after="120" w:line="288" w:lineRule="auto"/>
        <w:ind w:left="0"/>
        <w:jc w:val="left"/>
      </w:pPr>
    </w:p>
    <w:sectPr>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Malgun Gothic">
    <w:panose1 w:val="020B0503020000020004"/>
    <w:charset w:val="86"/>
    <w:family w:val="auto"/>
    <w:pitch w:val="default"/>
    <w:sig w:usb0="9000002F" w:usb1="29D77CFB" w:usb2="00000012" w:usb3="00000000" w:csb0="00080001" w:csb1="00000000"/>
  </w:font>
  <w:font w:name="Cambria">
    <w:panose1 w:val="02040503050406030204"/>
    <w:charset w:val="00"/>
    <w:family w:val="auto"/>
    <w:pitch w:val="default"/>
    <w:sig w:usb0="E00006FF" w:usb1="420024FF" w:usb2="02000000" w:usb3="00000000" w:csb0="2000019F" w:csb1="0000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73D4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09DF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7380B"/>
    <w:rsid w:val="02C24BF1"/>
    <w:rsid w:val="05FD48BE"/>
    <w:rsid w:val="09104908"/>
    <w:rsid w:val="092959CA"/>
    <w:rsid w:val="0ADD4CBE"/>
    <w:rsid w:val="0BF24799"/>
    <w:rsid w:val="0C2F6EBE"/>
    <w:rsid w:val="0C7E054E"/>
    <w:rsid w:val="11212791"/>
    <w:rsid w:val="11D6792C"/>
    <w:rsid w:val="13D749A0"/>
    <w:rsid w:val="142812C3"/>
    <w:rsid w:val="14B4662C"/>
    <w:rsid w:val="177469AA"/>
    <w:rsid w:val="1B5B5EB7"/>
    <w:rsid w:val="28B40967"/>
    <w:rsid w:val="28FB6BE5"/>
    <w:rsid w:val="2C82701B"/>
    <w:rsid w:val="2FD162F0"/>
    <w:rsid w:val="48427933"/>
    <w:rsid w:val="48FF1AD9"/>
    <w:rsid w:val="4D1D271C"/>
    <w:rsid w:val="5471620E"/>
    <w:rsid w:val="580159C7"/>
    <w:rsid w:val="59BA265E"/>
    <w:rsid w:val="59BE5287"/>
    <w:rsid w:val="608A5EC3"/>
    <w:rsid w:val="61365606"/>
    <w:rsid w:val="6C702411"/>
    <w:rsid w:val="73F12089"/>
    <w:rsid w:val="754C32EF"/>
    <w:rsid w:val="780600CD"/>
    <w:rsid w:val="7F5B48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2" w:semiHidden="0" w:name="toc 1"/>
    <w:lsdException w:qFormat="1" w:unhideWhenUsed="0" w:uiPriority="2" w:semiHidden="0" w:name="toc 2"/>
    <w:lsdException w:unhideWhenUsed="0" w:uiPriority="2"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ascii="Arial" w:hAnsi="Arial" w:eastAsia="宋体" w:cs="Arial"/>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uiPriority w:val="1723"/>
  </w:style>
  <w:style w:type="table" w:default="1" w:styleId="10">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楷体" w:hAnsi="楷体" w:eastAsia="楷体" w:cs="楷体"/>
      <w:sz w:val="40"/>
      <w:szCs w:val="40"/>
      <w:lang w:val="en-US" w:eastAsia="en-US" w:bidi="ar-SA"/>
    </w:rPr>
  </w:style>
  <w:style w:type="paragraph" w:styleId="6">
    <w:name w:val="toc 3"/>
    <w:basedOn w:val="1"/>
    <w:next w:val="1"/>
    <w:uiPriority w:val="2"/>
    <w:pPr>
      <w:ind w:left="420"/>
      <w:jc w:val="left"/>
    </w:pPr>
    <w:rPr>
      <w:iCs/>
    </w:rPr>
  </w:style>
  <w:style w:type="paragraph" w:styleId="7">
    <w:name w:val="toc 1"/>
    <w:basedOn w:val="1"/>
    <w:next w:val="1"/>
    <w:uiPriority w:val="2"/>
    <w:pPr>
      <w:tabs>
        <w:tab w:val="right" w:leader="dot" w:pos="8296"/>
      </w:tabs>
      <w:spacing w:before="120" w:after="120"/>
      <w:jc w:val="left"/>
    </w:pPr>
    <w:rPr>
      <w:b/>
      <w:bCs/>
      <w:caps/>
    </w:rPr>
  </w:style>
  <w:style w:type="paragraph" w:styleId="8">
    <w:name w:val="toc 2"/>
    <w:basedOn w:val="1"/>
    <w:next w:val="1"/>
    <w:qFormat/>
    <w:uiPriority w:val="2"/>
    <w:pPr>
      <w:ind w:left="210"/>
      <w:jc w:val="left"/>
    </w:pPr>
    <w:rPr>
      <w:smallCaps/>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Hyperlink"/>
    <w:basedOn w:val="11"/>
    <w:uiPriority w:val="2383"/>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6393</Words>
  <Characters>6973</Characters>
  <TotalTime>25</TotalTime>
  <ScaleCrop>false</ScaleCrop>
  <LinksUpToDate>false</LinksUpToDate>
  <CharactersWithSpaces>7212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2026-05-04T12:26:00Z</dcterms:created>
  <dc:creator>Apache POI</dc:creator>
  <cp:lastModifiedBy>赵梓元</cp:lastModifiedBy>
  <dcterms:modified xsi:type="dcterms:W3CDTF">2026-05-05T10:35:20Z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eyJoZGlkIjoiOWRjOTBmNzU2MWMzNTdjNjEwNzdjOGViNTIwMzMxN2QiLCJ1c2VySWQiOiIxNzI3NDc1MjI3In0=</vt:lpwstr>
  </property>
  <property fmtid="{D5CDD505-2E9C-101B-9397-08002B2CF9AE}" pid="3" name="KSOProductBuildVer">
    <vt:lpwstr>2052-12.1.0.24034</vt:lpwstr>
  </property>
  <property fmtid="{D5CDD505-2E9C-101B-9397-08002B2CF9AE}" pid="4" name="ICV">
    <vt:lpwstr>69B75CD2AA484C64855A7AC7E79390D9_13</vt:lpwstr>
  </property>
</Properties>
</file>