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lens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reconciliation-lens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Reconciliation Lens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Reconciliation Lens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Evaluates whether structural changes align with declared authority updates.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Transform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Prior structural graph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Updated structural graph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Declared authority changes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Operation: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Compare structural differences against declared updates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Identify unaligned modifications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Reconciliation classification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Unreconciled regions (if present)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Input Requirements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Versioned structural records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Declared authority change log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Structural Signature of Failure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Failure exists when structural changes occur without corresponding declared authority updates.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Evaluates alignment only.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Does not evaluate correctness of the authority change.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