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3801"/>
        <w:gridCol w:w="5559"/>
      </w:tblGrid>
      <w:tr w:rsidR="00F752C6" w14:paraId="400B889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p>
        </w:tc>
      </w:tr>
      <w:tr w:rsidR="00F752C6" w14:paraId="355F6A9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ObesityICD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C3F2B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Diagnosis: AsthmaDx, CroupDx, ReactiveAirwayDx, CoughDx, PneumoniaDx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672EA542" w:rsidR="00F752C6" w:rsidRDefault="00B601EC" w:rsidP="000E2B7C">
            <w:pPr>
              <w:rPr>
                <w:i/>
                <w:sz w:val="20"/>
                <w:szCs w:val="20"/>
              </w:rPr>
            </w:pPr>
            <w:r>
              <w:rPr>
                <w:i/>
                <w:sz w:val="20"/>
                <w:szCs w:val="20"/>
              </w:rPr>
              <w:t>One or more diagnoses of select respiratory disorders (defined by high-level ICD categories) over 'study' period; 1=Yes, 0=No)</w:t>
            </w:r>
          </w:p>
        </w:tc>
      </w:tr>
      <w:tr w:rsidR="00F752C6" w14:paraId="21F253B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5ECC74A8" w:rsidR="00F752C6" w:rsidRDefault="00B601EC" w:rsidP="000E2B7C">
            <w:pPr>
              <w:rPr>
                <w:i/>
                <w:sz w:val="20"/>
                <w:szCs w:val="20"/>
              </w:rPr>
            </w:pPr>
            <w:r>
              <w:rPr>
                <w:i/>
                <w:sz w:val="20"/>
                <w:szCs w:val="20"/>
              </w:rPr>
              <w:t xml:space="preserve">US Census Bureau ACS 2012-2016 estimated total population [block group], binned </w:t>
            </w:r>
            <w:r w:rsidR="00F8618D" w:rsidRPr="00D51481">
              <w:rPr>
                <w:i/>
                <w:sz w:val="20"/>
                <w:szCs w:val="20"/>
              </w:rPr>
              <w:t xml:space="preserve">according to US Census Bureau definitions (1=rural </w:t>
            </w:r>
            <w:r w:rsidR="00F8618D" w:rsidRPr="004A0E50">
              <w:rPr>
                <w:i/>
                <w:color w:val="000000"/>
                <w:sz w:val="20"/>
                <w:szCs w:val="20"/>
                <w:shd w:val="clear" w:color="auto" w:fill="FFFFFF"/>
              </w:rPr>
              <w:t>[0,2500), 2=urban cluster [2500,50000), 3=urbanized area [50000,inf))</w:t>
            </w:r>
            <w:bookmarkStart w:id="0" w:name="_GoBack"/>
            <w:bookmarkEnd w:id="0"/>
          </w:p>
        </w:tc>
      </w:tr>
      <w:tr w:rsidR="00F752C6" w14:paraId="1198AB2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EstProbabilityHouseholdNonHispWhite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EstProbabilityHighSchoolMaxEducation</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EstProbabilityNoAuto</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EstProbabilityNoHealthIns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EstProbabilityESL</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US Census Bureau ACS 2012-2016 estimated proportion of persons 5 y or older who sometimes speak a language other than English at home [block group], binned as quartiles (1, 2, 3, 4)</w:t>
            </w:r>
          </w:p>
        </w:tc>
      </w:tr>
      <w:tr w:rsidR="00F752C6" w14:paraId="7026780E"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EstHouseholdIncome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MajorRoadwayHighwayExposure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US Census TIGERline distance in meters from household to nearest major road/highway (1 = 0-49, 2 = 50-99, 3 = 100-199, 4 = 200-299, 5 = 300-499, 6 = &gt;=500 meters)</w:t>
            </w:r>
          </w:p>
        </w:tc>
      </w:tr>
      <w:tr w:rsidR="00F752C6" w14:paraId="23B07D1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RoadwayDistanceExposure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4D9F97"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2AA86E" w14:textId="252802D2" w:rsidR="00F752C6" w:rsidRDefault="00B601EC" w:rsidP="00752103">
            <w:pPr>
              <w:rPr>
                <w:i/>
                <w:sz w:val="20"/>
                <w:szCs w:val="20"/>
              </w:rPr>
            </w:pPr>
            <w:r>
              <w:rPr>
                <w:i/>
                <w:sz w:val="20"/>
                <w:szCs w:val="20"/>
              </w:rPr>
              <w:t xml:space="preserve">UNC IE average estimated average daily PM2.5 exposure over 'study' period, binned </w:t>
            </w:r>
            <w:r w:rsidR="00752103">
              <w:rPr>
                <w:i/>
                <w:sz w:val="20"/>
                <w:szCs w:val="20"/>
              </w:rPr>
              <w:t>by data values</w:t>
            </w:r>
            <w:r>
              <w:rPr>
                <w:i/>
                <w:sz w:val="20"/>
                <w:szCs w:val="20"/>
              </w:rPr>
              <w:t xml:space="preserve"> (1, 2, 3, 4, 5)</w:t>
            </w:r>
          </w:p>
        </w:tc>
      </w:tr>
      <w:tr w:rsidR="00F752C6" w14:paraId="1B88417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B0660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B25C34" w14:textId="2EC8AE6E" w:rsidR="00F752C6" w:rsidRDefault="00B601EC" w:rsidP="00752103">
            <w:pPr>
              <w:rPr>
                <w:i/>
                <w:sz w:val="20"/>
                <w:szCs w:val="20"/>
              </w:rPr>
            </w:pPr>
            <w:r>
              <w:rPr>
                <w:i/>
                <w:sz w:val="20"/>
                <w:szCs w:val="20"/>
              </w:rPr>
              <w:t xml:space="preserve">UNC IE average estimated maximum daily exposure over 'study' period, binned </w:t>
            </w:r>
            <w:r w:rsidR="00752103">
              <w:rPr>
                <w:i/>
                <w:sz w:val="20"/>
                <w:szCs w:val="20"/>
              </w:rPr>
              <w:t>by data values</w:t>
            </w:r>
            <w:r>
              <w:rPr>
                <w:i/>
                <w:sz w:val="20"/>
                <w:szCs w:val="20"/>
              </w:rPr>
              <w:t xml:space="preserve"> (1, 2, 3, 4, 5)</w:t>
            </w:r>
          </w:p>
        </w:tc>
      </w:tr>
      <w:tr w:rsidR="00F752C6" w14:paraId="2DB45A6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43139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AvgDailyOzoneExposure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12B4F2" w14:textId="3A1E0598" w:rsidR="00F752C6" w:rsidRPr="000E2B7C" w:rsidRDefault="00B601EC" w:rsidP="00752103">
            <w:pPr>
              <w:rPr>
                <w:i/>
                <w:sz w:val="20"/>
                <w:szCs w:val="20"/>
              </w:rPr>
            </w:pPr>
            <w:r>
              <w:rPr>
                <w:i/>
                <w:sz w:val="20"/>
                <w:szCs w:val="20"/>
              </w:rPr>
              <w:t xml:space="preserve">UNC IE average estimated average daily ozone exposure over ‘study’ period, </w:t>
            </w:r>
            <w:r w:rsidR="00752103">
              <w:rPr>
                <w:i/>
                <w:sz w:val="20"/>
                <w:szCs w:val="20"/>
              </w:rPr>
              <w:t>binned by data values</w:t>
            </w:r>
            <w:r>
              <w:rPr>
                <w:i/>
                <w:sz w:val="20"/>
                <w:szCs w:val="20"/>
              </w:rPr>
              <w:t xml:space="preserve"> (1, 2, 3, 4, 5)</w:t>
            </w:r>
          </w:p>
        </w:tc>
      </w:tr>
      <w:tr w:rsidR="00F752C6" w14:paraId="29AD378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FD7EA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MaxDailyOzoneExposure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A511EA" w14:textId="1BBC83CE" w:rsidR="00F752C6" w:rsidRDefault="00B601EC" w:rsidP="000E2B7C">
            <w:pPr>
              <w:rPr>
                <w:i/>
                <w:sz w:val="20"/>
                <w:szCs w:val="20"/>
              </w:rPr>
            </w:pPr>
            <w:r>
              <w:rPr>
                <w:i/>
                <w:sz w:val="20"/>
                <w:szCs w:val="20"/>
              </w:rPr>
              <w:t>UNC IE average estimated maximum daily exposure over ‘s</w:t>
            </w:r>
            <w:r w:rsidR="00752103">
              <w:rPr>
                <w:i/>
                <w:sz w:val="20"/>
                <w:szCs w:val="20"/>
              </w:rPr>
              <w:t>tudy’ period, binned by data value</w:t>
            </w:r>
            <w:r>
              <w:rPr>
                <w:i/>
                <w:sz w:val="20"/>
                <w:szCs w:val="20"/>
              </w:rPr>
              <w:t>s (1, 2, 3, 4, 5)</w:t>
            </w:r>
          </w:p>
        </w:tc>
      </w:tr>
      <w:tr w:rsidR="00F752C6" w14:paraId="696374D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179D32B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 Prednisone, Fluticasone, Mometasone, Budesonide, Beclomethasone, Ciclesonide, Flunisolide, Albuterol, Metaproterenol, Diphenhydramine, Fexofenadine, Cetirizine, Ipratropium, Salmeterol, Arformoterol, Formoterol, Indacaterol, Theophylline, Omalizumab, Mepolizumab</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7777777" w:rsidR="00F752C6" w:rsidRDefault="00B601EC">
            <w:pPr>
              <w:rPr>
                <w:i/>
                <w:sz w:val="20"/>
                <w:szCs w:val="20"/>
              </w:rPr>
            </w:pPr>
            <w:r>
              <w:rPr>
                <w:i/>
                <w:sz w:val="20"/>
                <w:szCs w:val="20"/>
              </w:rPr>
              <w:t>One or more prescriptions/administrations of medication over 'study' period (1=Yes, 0=No)</w:t>
            </w:r>
          </w:p>
          <w:p w14:paraId="053F5318" w14:textId="77777777"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F752C6" w14:paraId="6EF0FAA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F752C6" w:rsidRPr="000E2B7C" w:rsidRDefault="00B601EC" w:rsidP="000E2B7C">
            <w:pPr>
              <w:rPr>
                <w:i/>
                <w:sz w:val="20"/>
                <w:szCs w:val="20"/>
              </w:rPr>
            </w:pPr>
            <w:r>
              <w:rPr>
                <w:i/>
                <w:sz w:val="20"/>
                <w:szCs w:val="20"/>
              </w:rPr>
              <w:t>Total #</w:t>
            </w:r>
            <w:r w:rsidR="00DF7FAA">
              <w:rPr>
                <w:i/>
                <w:sz w:val="20"/>
                <w:szCs w:val="20"/>
              </w:rPr>
              <w:t xml:space="preserve"> </w:t>
            </w:r>
            <w:r>
              <w:rPr>
                <w:i/>
                <w:sz w:val="20"/>
                <w:szCs w:val="20"/>
              </w:rPr>
              <w:t>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6DC474F" w14:textId="7DDA2AA4" w:rsidR="00C05245" w:rsidRDefault="00C05245">
      <w:pPr>
        <w:rPr>
          <w:sz w:val="18"/>
          <w:szCs w:val="18"/>
        </w:rPr>
      </w:pP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C25B3" w14:textId="77777777" w:rsidR="0002272F" w:rsidRDefault="0002272F">
      <w:pPr>
        <w:spacing w:line="240" w:lineRule="auto"/>
      </w:pPr>
      <w:r>
        <w:separator/>
      </w:r>
    </w:p>
  </w:endnote>
  <w:endnote w:type="continuationSeparator" w:id="0">
    <w:p w14:paraId="64656B6B" w14:textId="77777777" w:rsidR="0002272F" w:rsidRDefault="00022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618D">
      <w:rPr>
        <w:noProof/>
        <w:color w:val="000000"/>
      </w:rPr>
      <w:t>2</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82442" w14:textId="77777777" w:rsidR="0002272F" w:rsidRDefault="0002272F">
      <w:pPr>
        <w:spacing w:line="240" w:lineRule="auto"/>
      </w:pPr>
      <w:r>
        <w:separator/>
      </w:r>
    </w:p>
  </w:footnote>
  <w:footnote w:type="continuationSeparator" w:id="0">
    <w:p w14:paraId="4382F7D3" w14:textId="77777777" w:rsidR="0002272F" w:rsidRDefault="000227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664F6"/>
    <w:rsid w:val="000716AF"/>
    <w:rsid w:val="00083DE1"/>
    <w:rsid w:val="00095E56"/>
    <w:rsid w:val="000A2E9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A25FB"/>
    <w:rsid w:val="001B6DF3"/>
    <w:rsid w:val="001C20C9"/>
    <w:rsid w:val="001C3ACA"/>
    <w:rsid w:val="001D092A"/>
    <w:rsid w:val="00221FF5"/>
    <w:rsid w:val="00240D4E"/>
    <w:rsid w:val="00250500"/>
    <w:rsid w:val="002518A4"/>
    <w:rsid w:val="00252AB9"/>
    <w:rsid w:val="002655FF"/>
    <w:rsid w:val="00280F34"/>
    <w:rsid w:val="00283986"/>
    <w:rsid w:val="002926E4"/>
    <w:rsid w:val="002B7F44"/>
    <w:rsid w:val="002C2531"/>
    <w:rsid w:val="002C2D48"/>
    <w:rsid w:val="002E194F"/>
    <w:rsid w:val="002E41D0"/>
    <w:rsid w:val="002E5782"/>
    <w:rsid w:val="00305E34"/>
    <w:rsid w:val="00316955"/>
    <w:rsid w:val="003378EB"/>
    <w:rsid w:val="0036423C"/>
    <w:rsid w:val="00365193"/>
    <w:rsid w:val="003857D5"/>
    <w:rsid w:val="00391F0B"/>
    <w:rsid w:val="00397FDF"/>
    <w:rsid w:val="003B593D"/>
    <w:rsid w:val="003B5FD6"/>
    <w:rsid w:val="003C2DC1"/>
    <w:rsid w:val="003C3A47"/>
    <w:rsid w:val="003C4BB6"/>
    <w:rsid w:val="004209CD"/>
    <w:rsid w:val="00437B71"/>
    <w:rsid w:val="00471DE5"/>
    <w:rsid w:val="004A7300"/>
    <w:rsid w:val="00500F0B"/>
    <w:rsid w:val="005035FA"/>
    <w:rsid w:val="00554451"/>
    <w:rsid w:val="0058024F"/>
    <w:rsid w:val="00585E56"/>
    <w:rsid w:val="00590F71"/>
    <w:rsid w:val="00594389"/>
    <w:rsid w:val="00595745"/>
    <w:rsid w:val="005A2B39"/>
    <w:rsid w:val="005F3EED"/>
    <w:rsid w:val="005F490B"/>
    <w:rsid w:val="00606698"/>
    <w:rsid w:val="00610E01"/>
    <w:rsid w:val="0061111D"/>
    <w:rsid w:val="00627CF0"/>
    <w:rsid w:val="00630294"/>
    <w:rsid w:val="0063096B"/>
    <w:rsid w:val="00662C32"/>
    <w:rsid w:val="00680585"/>
    <w:rsid w:val="006854BF"/>
    <w:rsid w:val="006A52BC"/>
    <w:rsid w:val="006C76C6"/>
    <w:rsid w:val="006E380B"/>
    <w:rsid w:val="006F0A5C"/>
    <w:rsid w:val="006F1A4A"/>
    <w:rsid w:val="007111EE"/>
    <w:rsid w:val="007254A2"/>
    <w:rsid w:val="00735FA9"/>
    <w:rsid w:val="00752103"/>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40A9A"/>
    <w:rsid w:val="0086073D"/>
    <w:rsid w:val="00866C36"/>
    <w:rsid w:val="00871B4F"/>
    <w:rsid w:val="00871E4F"/>
    <w:rsid w:val="008812B0"/>
    <w:rsid w:val="008937B8"/>
    <w:rsid w:val="008D3241"/>
    <w:rsid w:val="008D7AE8"/>
    <w:rsid w:val="008E2420"/>
    <w:rsid w:val="008E2959"/>
    <w:rsid w:val="008E6FEA"/>
    <w:rsid w:val="00910BB3"/>
    <w:rsid w:val="00963CDC"/>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629AC"/>
    <w:rsid w:val="00C63287"/>
    <w:rsid w:val="00C728A6"/>
    <w:rsid w:val="00C907D5"/>
    <w:rsid w:val="00C949F3"/>
    <w:rsid w:val="00CB2F21"/>
    <w:rsid w:val="00CC7A80"/>
    <w:rsid w:val="00CD347C"/>
    <w:rsid w:val="00D06976"/>
    <w:rsid w:val="00D2088E"/>
    <w:rsid w:val="00D26C95"/>
    <w:rsid w:val="00D27C54"/>
    <w:rsid w:val="00D478AE"/>
    <w:rsid w:val="00D508E8"/>
    <w:rsid w:val="00D52B73"/>
    <w:rsid w:val="00D537C1"/>
    <w:rsid w:val="00D552BF"/>
    <w:rsid w:val="00D6058E"/>
    <w:rsid w:val="00D77C56"/>
    <w:rsid w:val="00DD6B6E"/>
    <w:rsid w:val="00DE7398"/>
    <w:rsid w:val="00DF780B"/>
    <w:rsid w:val="00DF7FAA"/>
    <w:rsid w:val="00E051F8"/>
    <w:rsid w:val="00E21900"/>
    <w:rsid w:val="00E374F7"/>
    <w:rsid w:val="00E75D27"/>
    <w:rsid w:val="00EA1E6F"/>
    <w:rsid w:val="00EB24AC"/>
    <w:rsid w:val="00EF605B"/>
    <w:rsid w:val="00F21CAB"/>
    <w:rsid w:val="00F227C1"/>
    <w:rsid w:val="00F24B07"/>
    <w:rsid w:val="00F52AD5"/>
    <w:rsid w:val="00F71AD9"/>
    <w:rsid w:val="00F752C6"/>
    <w:rsid w:val="00F75827"/>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9B6E-DFEC-4880-9F5F-7CBAD868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2</cp:revision>
  <cp:lastPrinted>2018-10-23T22:37:00Z</cp:lastPrinted>
  <dcterms:created xsi:type="dcterms:W3CDTF">2019-01-24T17:12:00Z</dcterms:created>
  <dcterms:modified xsi:type="dcterms:W3CDTF">2019-01-24T17:12:00Z</dcterms:modified>
</cp:coreProperties>
</file>