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EC4" w:rsidRPr="00D33513" w:rsidRDefault="00441AE7" w:rsidP="00EE2EC4">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Pr>
          <w:rFonts w:ascii="Arial" w:eastAsia="Times New Roman" w:hAnsi="Arial" w:cs="Arial"/>
          <w:b/>
          <w:bCs/>
          <w:color w:val="24292E"/>
          <w:sz w:val="36"/>
          <w:szCs w:val="36"/>
        </w:rPr>
        <w:t>Translator Integrated Clinical and Environmental Exposures Service (</w:t>
      </w:r>
      <w:r w:rsidR="00EE2EC4" w:rsidRPr="00D33513">
        <w:rPr>
          <w:rFonts w:ascii="Arial" w:eastAsia="Times New Roman" w:hAnsi="Arial" w:cs="Arial"/>
          <w:b/>
          <w:bCs/>
          <w:color w:val="24292E"/>
          <w:sz w:val="36"/>
          <w:szCs w:val="36"/>
        </w:rPr>
        <w:t>ICEES</w:t>
      </w:r>
      <w:r>
        <w:rPr>
          <w:rFonts w:ascii="Arial" w:eastAsia="Times New Roman" w:hAnsi="Arial" w:cs="Arial"/>
          <w:b/>
          <w:bCs/>
          <w:color w:val="24292E"/>
          <w:sz w:val="36"/>
          <w:szCs w:val="36"/>
        </w:rPr>
        <w:t>)</w:t>
      </w:r>
    </w:p>
    <w:p w:rsidR="00441AE7" w:rsidRDefault="00EE2EC4" w:rsidP="00EE2EC4">
      <w:pPr>
        <w:shd w:val="clear" w:color="auto" w:fill="FFFFFF"/>
        <w:spacing w:after="240" w:line="240" w:lineRule="auto"/>
        <w:rPr>
          <w:rFonts w:ascii="Arial" w:eastAsia="Times New Roman" w:hAnsi="Arial" w:cs="Arial"/>
          <w:iCs/>
          <w:sz w:val="24"/>
          <w:szCs w:val="24"/>
        </w:rPr>
      </w:pPr>
      <w:r w:rsidRPr="00D33513">
        <w:rPr>
          <w:rFonts w:ascii="Arial" w:eastAsia="Times New Roman" w:hAnsi="Arial" w:cs="Arial"/>
          <w:b/>
          <w:bCs/>
          <w:color w:val="24292E"/>
          <w:sz w:val="24"/>
          <w:szCs w:val="24"/>
        </w:rPr>
        <w:t>ICEES</w:t>
      </w:r>
      <w:r w:rsidR="007B0984">
        <w:rPr>
          <w:rFonts w:ascii="Arial" w:eastAsia="Times New Roman" w:hAnsi="Arial" w:cs="Arial"/>
          <w:color w:val="24292E"/>
          <w:sz w:val="24"/>
          <w:szCs w:val="24"/>
        </w:rPr>
        <w:t> </w:t>
      </w:r>
      <w:r w:rsidR="00441AE7" w:rsidRPr="00441AE7">
        <w:rPr>
          <w:rFonts w:ascii="Arial" w:eastAsia="Times New Roman" w:hAnsi="Arial" w:cs="Arial"/>
          <w:iCs/>
          <w:sz w:val="24"/>
          <w:szCs w:val="24"/>
        </w:rPr>
        <w:t xml:space="preserve">was developed as part of the </w:t>
      </w:r>
      <w:hyperlink r:id="rId8" w:history="1">
        <w:r w:rsidR="00441AE7" w:rsidRPr="00441AE7">
          <w:rPr>
            <w:rStyle w:val="Hyperlink"/>
            <w:rFonts w:ascii="Arial" w:eastAsia="Times New Roman" w:hAnsi="Arial" w:cs="Arial"/>
            <w:iCs/>
            <w:sz w:val="24"/>
            <w:szCs w:val="24"/>
          </w:rPr>
          <w:t>NCATS-funded Biomedical Data Translator Program</w:t>
        </w:r>
      </w:hyperlink>
      <w:r w:rsidR="00441AE7" w:rsidRPr="00441AE7">
        <w:rPr>
          <w:rFonts w:ascii="Arial" w:eastAsia="Times New Roman" w:hAnsi="Arial" w:cs="Arial"/>
          <w:iCs/>
          <w:sz w:val="24"/>
          <w:szCs w:val="24"/>
        </w:rPr>
        <w:t xml:space="preserve"> (also see </w:t>
      </w:r>
      <w:hyperlink r:id="rId9" w:history="1">
        <w:r w:rsidR="00441AE7" w:rsidRPr="00441AE7">
          <w:rPr>
            <w:rStyle w:val="Hyperlink"/>
            <w:rFonts w:ascii="Arial" w:eastAsia="Times New Roman" w:hAnsi="Arial" w:cs="Arial"/>
            <w:iCs/>
            <w:sz w:val="24"/>
            <w:szCs w:val="24"/>
          </w:rPr>
          <w:t>Austin et al. 2018</w:t>
        </w:r>
      </w:hyperlink>
      <w:r w:rsidR="00441AE7" w:rsidRPr="00441AE7">
        <w:rPr>
          <w:rFonts w:ascii="Arial" w:eastAsia="Times New Roman" w:hAnsi="Arial" w:cs="Arial"/>
          <w:iCs/>
          <w:sz w:val="24"/>
          <w:szCs w:val="24"/>
        </w:rPr>
        <w:t xml:space="preserve">; </w:t>
      </w:r>
      <w:hyperlink r:id="rId10" w:history="1">
        <w:r w:rsidR="00441AE7" w:rsidRPr="00441AE7">
          <w:rPr>
            <w:rStyle w:val="Hyperlink"/>
            <w:rFonts w:ascii="Arial" w:eastAsia="Times New Roman" w:hAnsi="Arial" w:cs="Arial"/>
            <w:iCs/>
            <w:sz w:val="24"/>
            <w:szCs w:val="24"/>
          </w:rPr>
          <w:t>The Biomedical Data Translator Consortium 2018a</w:t>
        </w:r>
      </w:hyperlink>
      <w:r w:rsidR="00441AE7" w:rsidRPr="00441AE7">
        <w:rPr>
          <w:rFonts w:ascii="Arial" w:eastAsia="Times New Roman" w:hAnsi="Arial" w:cs="Arial"/>
          <w:iCs/>
          <w:sz w:val="24"/>
          <w:szCs w:val="24"/>
        </w:rPr>
        <w:t xml:space="preserve">; </w:t>
      </w:r>
      <w:hyperlink r:id="rId11" w:history="1">
        <w:r w:rsidR="00441AE7" w:rsidRPr="00441AE7">
          <w:rPr>
            <w:rStyle w:val="Hyperlink"/>
            <w:rFonts w:ascii="Arial" w:eastAsia="Times New Roman" w:hAnsi="Arial" w:cs="Arial"/>
            <w:iCs/>
            <w:sz w:val="24"/>
            <w:szCs w:val="24"/>
          </w:rPr>
          <w:t>The Biomedical Data Translator Consortium 2018b</w:t>
        </w:r>
      </w:hyperlink>
      <w:r w:rsidR="00441AE7" w:rsidRPr="00441AE7">
        <w:rPr>
          <w:rFonts w:ascii="Arial" w:eastAsia="Times New Roman" w:hAnsi="Arial" w:cs="Arial"/>
          <w:iCs/>
          <w:sz w:val="24"/>
          <w:szCs w:val="24"/>
        </w:rPr>
        <w:t xml:space="preserve">). </w:t>
      </w:r>
      <w:r w:rsidR="00441AE7">
        <w:rPr>
          <w:rFonts w:ascii="Arial" w:eastAsia="Times New Roman" w:hAnsi="Arial" w:cs="Arial"/>
          <w:iCs/>
          <w:sz w:val="24"/>
          <w:szCs w:val="24"/>
        </w:rPr>
        <w:t>“Green Team”, based at the University of North Carolina at Chapel Hill and one of 11 Translator teams, led the research and development of ICEES.</w:t>
      </w:r>
    </w:p>
    <w:p w:rsidR="00EE2EC4" w:rsidRPr="00D33513" w:rsidRDefault="00441AE7" w:rsidP="00EE2EC4">
      <w:pPr>
        <w:shd w:val="clear" w:color="auto" w:fill="FFFFFF"/>
        <w:spacing w:after="240" w:line="240" w:lineRule="auto"/>
        <w:rPr>
          <w:rFonts w:ascii="Arial" w:eastAsia="Times New Roman" w:hAnsi="Arial" w:cs="Arial"/>
          <w:color w:val="24292E"/>
          <w:sz w:val="24"/>
          <w:szCs w:val="24"/>
        </w:rPr>
      </w:pPr>
      <w:proofErr w:type="gramStart"/>
      <w:r>
        <w:rPr>
          <w:rFonts w:ascii="Arial" w:eastAsia="Times New Roman" w:hAnsi="Arial" w:cs="Arial"/>
          <w:iCs/>
          <w:sz w:val="24"/>
          <w:szCs w:val="24"/>
        </w:rPr>
        <w:t>ICEES</w:t>
      </w:r>
      <w:proofErr w:type="gramEnd"/>
      <w:r>
        <w:rPr>
          <w:rFonts w:ascii="Arial" w:eastAsia="Times New Roman" w:hAnsi="Arial" w:cs="Arial"/>
          <w:iCs/>
          <w:sz w:val="24"/>
          <w:szCs w:val="24"/>
        </w:rPr>
        <w:t xml:space="preserve"> </w:t>
      </w:r>
      <w:r w:rsidR="007B0984">
        <w:rPr>
          <w:rFonts w:ascii="Arial" w:eastAsia="Times New Roman" w:hAnsi="Arial" w:cs="Arial"/>
          <w:color w:val="24292E"/>
          <w:sz w:val="24"/>
          <w:szCs w:val="24"/>
        </w:rPr>
        <w:t xml:space="preserve">offers access to </w:t>
      </w:r>
      <w:r w:rsidR="00EE2EC4" w:rsidRPr="00D33513">
        <w:rPr>
          <w:rFonts w:ascii="Arial" w:eastAsia="Times New Roman" w:hAnsi="Arial" w:cs="Arial"/>
          <w:color w:val="24292E"/>
          <w:sz w:val="24"/>
          <w:szCs w:val="24"/>
        </w:rPr>
        <w:t xml:space="preserve">observational clinical data on all patients in the </w:t>
      </w:r>
      <w:r w:rsidR="00560584" w:rsidRPr="00D33513">
        <w:rPr>
          <w:rFonts w:ascii="Arial" w:eastAsia="Times New Roman" w:hAnsi="Arial" w:cs="Arial"/>
          <w:color w:val="24292E"/>
          <w:sz w:val="24"/>
          <w:szCs w:val="24"/>
        </w:rPr>
        <w:t>Carolina Data Warehouse for Health (</w:t>
      </w:r>
      <w:r w:rsidR="00EE2EC4" w:rsidRPr="00D33513">
        <w:rPr>
          <w:rFonts w:ascii="Arial" w:eastAsia="Times New Roman" w:hAnsi="Arial" w:cs="Arial"/>
          <w:color w:val="24292E"/>
          <w:sz w:val="24"/>
          <w:szCs w:val="24"/>
        </w:rPr>
        <w:t>CDWH</w:t>
      </w:r>
      <w:r w:rsidR="00560584" w:rsidRPr="00D33513">
        <w:rPr>
          <w:rFonts w:ascii="Arial" w:eastAsia="Times New Roman" w:hAnsi="Arial" w:cs="Arial"/>
          <w:color w:val="24292E"/>
          <w:sz w:val="24"/>
          <w:szCs w:val="24"/>
        </w:rPr>
        <w:t>)</w:t>
      </w:r>
      <w:r w:rsidR="00EE2EC4" w:rsidRPr="00D33513">
        <w:rPr>
          <w:rFonts w:ascii="Arial" w:eastAsia="Times New Roman" w:hAnsi="Arial" w:cs="Arial"/>
          <w:color w:val="24292E"/>
          <w:sz w:val="24"/>
          <w:szCs w:val="24"/>
        </w:rPr>
        <w:t xml:space="preserve"> with an asthma-like phenotype (defined below)</w:t>
      </w:r>
      <w:r w:rsidR="00560584" w:rsidRPr="00D33513">
        <w:rPr>
          <w:rFonts w:ascii="Arial" w:eastAsia="Times New Roman" w:hAnsi="Arial" w:cs="Arial"/>
          <w:color w:val="24292E"/>
          <w:sz w:val="24"/>
          <w:szCs w:val="24"/>
        </w:rPr>
        <w:t>. T</w:t>
      </w:r>
      <w:r w:rsidR="00EE2EC4" w:rsidRPr="00D33513">
        <w:rPr>
          <w:rFonts w:ascii="Arial" w:eastAsia="Times New Roman" w:hAnsi="Arial" w:cs="Arial"/>
          <w:color w:val="24292E"/>
          <w:sz w:val="24"/>
          <w:szCs w:val="24"/>
        </w:rPr>
        <w:t>he data additionally contain data derived from several public databases on chemical exposures (e.g., airborne pollutants) and sociological exposures (e.g., estimated household income)</w:t>
      </w:r>
      <w:r w:rsidR="00300758">
        <w:rPr>
          <w:rFonts w:ascii="Arial" w:eastAsia="Times New Roman" w:hAnsi="Arial" w:cs="Arial"/>
          <w:color w:val="24292E"/>
          <w:sz w:val="24"/>
          <w:szCs w:val="24"/>
        </w:rPr>
        <w:t xml:space="preserve"> (</w:t>
      </w:r>
      <w:r w:rsidR="00300758">
        <w:rPr>
          <w:rFonts w:ascii="Arial" w:eastAsia="Times New Roman" w:hAnsi="Arial" w:cs="Arial"/>
          <w:b/>
          <w:color w:val="24292E"/>
          <w:sz w:val="24"/>
          <w:szCs w:val="24"/>
        </w:rPr>
        <w:t>Appendix A</w:t>
      </w:r>
      <w:r w:rsidR="00300758">
        <w:rPr>
          <w:rFonts w:ascii="Arial" w:eastAsia="Times New Roman" w:hAnsi="Arial" w:cs="Arial"/>
          <w:color w:val="24292E"/>
          <w:sz w:val="24"/>
          <w:szCs w:val="24"/>
        </w:rPr>
        <w:t>)</w:t>
      </w:r>
      <w:r w:rsidR="00EE2EC4" w:rsidRPr="00D33513">
        <w:rPr>
          <w:rFonts w:ascii="Arial" w:eastAsia="Times New Roman" w:hAnsi="Arial" w:cs="Arial"/>
          <w:color w:val="24292E"/>
          <w:sz w:val="24"/>
          <w:szCs w:val="24"/>
        </w:rPr>
        <w:t xml:space="preserve">. The exposures data have been integrated with the clinical data at the patient and visit </w:t>
      </w:r>
      <w:r w:rsidR="00552E14" w:rsidRPr="00D33513">
        <w:rPr>
          <w:rFonts w:ascii="Arial" w:eastAsia="Times New Roman" w:hAnsi="Arial" w:cs="Arial"/>
          <w:color w:val="24292E"/>
          <w:sz w:val="24"/>
          <w:szCs w:val="24"/>
        </w:rPr>
        <w:t>level. T</w:t>
      </w:r>
      <w:r w:rsidR="00EE2EC4" w:rsidRPr="00D33513">
        <w:rPr>
          <w:rFonts w:ascii="Arial" w:eastAsia="Times New Roman" w:hAnsi="Arial" w:cs="Arial"/>
          <w:color w:val="24292E"/>
          <w:sz w:val="24"/>
          <w:szCs w:val="24"/>
        </w:rPr>
        <w:t>he ICEES clinical data were derived from fully identified patient dataset, but the data have been 'binned' or recoded in order to protect patient privacy</w:t>
      </w:r>
      <w:r w:rsidR="00552E14" w:rsidRPr="00D33513">
        <w:rPr>
          <w:rFonts w:ascii="Arial" w:eastAsia="Times New Roman" w:hAnsi="Arial" w:cs="Arial"/>
          <w:color w:val="24292E"/>
          <w:sz w:val="24"/>
          <w:szCs w:val="24"/>
        </w:rPr>
        <w:t>,</w:t>
      </w:r>
      <w:r w:rsidR="00EE2EC4" w:rsidRPr="00D33513">
        <w:rPr>
          <w:rFonts w:ascii="Arial" w:eastAsia="Times New Roman" w:hAnsi="Arial" w:cs="Arial"/>
          <w:color w:val="24292E"/>
          <w:sz w:val="24"/>
          <w:szCs w:val="24"/>
        </w:rPr>
        <w:t xml:space="preserve"> while also providing open access to the data via a Translator API and </w:t>
      </w:r>
      <w:r w:rsidR="007B0984">
        <w:rPr>
          <w:rFonts w:ascii="Arial" w:eastAsia="Times New Roman" w:hAnsi="Arial" w:cs="Arial"/>
          <w:color w:val="24292E"/>
          <w:sz w:val="24"/>
          <w:szCs w:val="24"/>
        </w:rPr>
        <w:t>ensuring</w:t>
      </w:r>
      <w:r w:rsidR="00EE2EC4" w:rsidRPr="00D33513">
        <w:rPr>
          <w:rFonts w:ascii="Arial" w:eastAsia="Times New Roman" w:hAnsi="Arial" w:cs="Arial"/>
          <w:color w:val="24292E"/>
          <w:sz w:val="24"/>
          <w:szCs w:val="24"/>
        </w:rPr>
        <w:t xml:space="preserve"> compliance with §164.514(b) of </w:t>
      </w:r>
      <w:hyperlink r:id="rId12" w:history="1">
        <w:r w:rsidR="00EE2EC4" w:rsidRPr="00D33513">
          <w:rPr>
            <w:rFonts w:ascii="Arial" w:eastAsia="Times New Roman" w:hAnsi="Arial" w:cs="Arial"/>
            <w:color w:val="0366D6"/>
            <w:sz w:val="24"/>
            <w:szCs w:val="24"/>
          </w:rPr>
          <w:t>HIPAA, 'Safe Harbor' method for patient de-identification of medical records</w:t>
        </w:r>
      </w:hyperlink>
      <w:r w:rsidR="00EE2EC4" w:rsidRPr="00D33513">
        <w:rPr>
          <w:rFonts w:ascii="Arial" w:eastAsia="Times New Roman" w:hAnsi="Arial" w:cs="Arial"/>
          <w:color w:val="24292E"/>
          <w:sz w:val="24"/>
          <w:szCs w:val="24"/>
        </w:rPr>
        <w:t>.</w:t>
      </w:r>
      <w:r w:rsidR="00E1285E">
        <w:rPr>
          <w:rFonts w:ascii="Arial" w:eastAsia="Times New Roman" w:hAnsi="Arial" w:cs="Arial"/>
          <w:color w:val="24292E"/>
          <w:sz w:val="24"/>
          <w:szCs w:val="24"/>
        </w:rPr>
        <w:t xml:space="preserve"> Note that while the design of ICEES was driven by a use case on asthma, the general framework and approach is flexible and scalable and can be adapted for virtually any disease or use case.</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color w:val="24292E"/>
          <w:sz w:val="24"/>
          <w:szCs w:val="24"/>
        </w:rPr>
        <w:t xml:space="preserve">ICEES is designed to offer four </w:t>
      </w:r>
      <w:r w:rsidR="001B0045">
        <w:rPr>
          <w:rFonts w:ascii="Arial" w:eastAsia="Times New Roman" w:hAnsi="Arial" w:cs="Arial"/>
          <w:color w:val="24292E"/>
          <w:sz w:val="24"/>
          <w:szCs w:val="24"/>
        </w:rPr>
        <w:t>main</w:t>
      </w:r>
      <w:r w:rsidR="004011E0">
        <w:rPr>
          <w:rFonts w:ascii="Arial" w:eastAsia="Times New Roman" w:hAnsi="Arial" w:cs="Arial"/>
          <w:color w:val="24292E"/>
          <w:sz w:val="24"/>
          <w:szCs w:val="24"/>
        </w:rPr>
        <w:t xml:space="preserve"> functionalities</w:t>
      </w:r>
      <w:r w:rsidR="001B0045">
        <w:rPr>
          <w:rFonts w:ascii="Arial" w:eastAsia="Times New Roman" w:hAnsi="Arial" w:cs="Arial"/>
          <w:color w:val="24292E"/>
          <w:sz w:val="24"/>
          <w:szCs w:val="24"/>
        </w:rPr>
        <w:t xml:space="preserve"> and several related functionalities</w:t>
      </w:r>
      <w:r w:rsidR="00552E14" w:rsidRPr="00D33513">
        <w:rPr>
          <w:rFonts w:ascii="Arial" w:eastAsia="Times New Roman" w:hAnsi="Arial" w:cs="Arial"/>
          <w:color w:val="24292E"/>
          <w:sz w:val="24"/>
          <w:szCs w:val="24"/>
        </w:rPr>
        <w:t>.</w:t>
      </w:r>
    </w:p>
    <w:p w:rsidR="00EE2EC4" w:rsidRPr="001B0045" w:rsidRDefault="00EE2EC4" w:rsidP="001B0045">
      <w:pPr>
        <w:pStyle w:val="ListParagraph"/>
        <w:numPr>
          <w:ilvl w:val="0"/>
          <w:numId w:val="2"/>
        </w:numPr>
        <w:shd w:val="clear" w:color="auto" w:fill="FFFFFF"/>
        <w:spacing w:after="240" w:line="240" w:lineRule="auto"/>
        <w:rPr>
          <w:rFonts w:ascii="Arial" w:eastAsia="Times New Roman" w:hAnsi="Arial" w:cs="Arial"/>
          <w:i/>
          <w:iCs/>
          <w:color w:val="24292E"/>
          <w:sz w:val="24"/>
          <w:szCs w:val="24"/>
        </w:rPr>
      </w:pPr>
      <w:r w:rsidRPr="001B0045">
        <w:rPr>
          <w:rFonts w:ascii="Arial" w:eastAsia="Times New Roman" w:hAnsi="Arial" w:cs="Arial"/>
          <w:i/>
          <w:iCs/>
          <w:color w:val="24292E"/>
          <w:sz w:val="24"/>
          <w:szCs w:val="24"/>
        </w:rPr>
        <w:t>Cohort discovery: users define a cohort using any number of defined feature variables as input parameters, and the service returns a sample size.</w:t>
      </w:r>
    </w:p>
    <w:p w:rsidR="001B0045" w:rsidRDefault="001B0045" w:rsidP="001B0045">
      <w:pPr>
        <w:shd w:val="clear" w:color="auto" w:fill="FFFFFF"/>
        <w:spacing w:after="240" w:line="240" w:lineRule="auto"/>
        <w:ind w:left="360"/>
        <w:rPr>
          <w:rFonts w:ascii="Arial" w:eastAsia="Times New Roman" w:hAnsi="Arial" w:cs="Arial"/>
          <w:i/>
          <w:color w:val="24292E"/>
          <w:sz w:val="24"/>
          <w:szCs w:val="24"/>
        </w:rPr>
      </w:pPr>
      <w:r>
        <w:rPr>
          <w:rFonts w:ascii="Arial" w:eastAsia="Times New Roman" w:hAnsi="Arial" w:cs="Arial"/>
          <w:i/>
          <w:color w:val="24292E"/>
          <w:sz w:val="24"/>
          <w:szCs w:val="24"/>
        </w:rPr>
        <w:t>Associate name with cohort identifier: users can name a defined cohort using an ICEES ID and text description</w:t>
      </w:r>
    </w:p>
    <w:p w:rsidR="001B0045" w:rsidRDefault="001B0045" w:rsidP="001B0045">
      <w:pPr>
        <w:shd w:val="clear" w:color="auto" w:fill="FFFFFF"/>
        <w:spacing w:after="240" w:line="240" w:lineRule="auto"/>
        <w:ind w:left="360"/>
        <w:rPr>
          <w:rFonts w:ascii="Arial" w:eastAsia="Times New Roman" w:hAnsi="Arial" w:cs="Arial"/>
          <w:i/>
          <w:color w:val="24292E"/>
          <w:sz w:val="24"/>
          <w:szCs w:val="24"/>
        </w:rPr>
      </w:pPr>
      <w:r>
        <w:rPr>
          <w:rFonts w:ascii="Arial" w:eastAsia="Times New Roman" w:hAnsi="Arial" w:cs="Arial"/>
          <w:i/>
          <w:color w:val="24292E"/>
          <w:sz w:val="24"/>
          <w:szCs w:val="24"/>
        </w:rPr>
        <w:t>Return cohort identifier associated with a name: users can obtain an ICEES ID for a named cohort</w:t>
      </w:r>
    </w:p>
    <w:p w:rsidR="001B0045" w:rsidRDefault="001B0045" w:rsidP="004464CD">
      <w:pPr>
        <w:shd w:val="clear" w:color="auto" w:fill="FFFFFF"/>
        <w:spacing w:after="240" w:line="240" w:lineRule="auto"/>
        <w:ind w:left="360"/>
        <w:rPr>
          <w:rFonts w:ascii="Arial" w:eastAsia="Times New Roman" w:hAnsi="Arial" w:cs="Arial"/>
          <w:i/>
          <w:color w:val="24292E"/>
          <w:sz w:val="24"/>
          <w:szCs w:val="24"/>
        </w:rPr>
      </w:pPr>
      <w:r>
        <w:rPr>
          <w:rFonts w:ascii="Arial" w:eastAsia="Times New Roman" w:hAnsi="Arial" w:cs="Arial"/>
          <w:i/>
          <w:color w:val="24292E"/>
          <w:sz w:val="24"/>
          <w:szCs w:val="24"/>
        </w:rPr>
        <w:t xml:space="preserve">Feature identifiers: users can obtain a list of identifiers for a given feature variable; identifiers are available from </w:t>
      </w:r>
      <w:r w:rsidRPr="001B0045">
        <w:rPr>
          <w:rFonts w:ascii="Arial" w:eastAsia="Times New Roman" w:hAnsi="Arial" w:cs="Arial"/>
          <w:i/>
          <w:color w:val="24292E"/>
          <w:sz w:val="24"/>
          <w:szCs w:val="24"/>
        </w:rPr>
        <w:t xml:space="preserve">the following sources (where available): NCIT, UMLS, SNOMED, MONDO, HPO, </w:t>
      </w:r>
      <w:proofErr w:type="spellStart"/>
      <w:r w:rsidRPr="001B0045">
        <w:rPr>
          <w:rFonts w:ascii="Arial" w:eastAsia="Times New Roman" w:hAnsi="Arial" w:cs="Arial"/>
          <w:i/>
          <w:color w:val="24292E"/>
          <w:sz w:val="24"/>
          <w:szCs w:val="24"/>
        </w:rPr>
        <w:t>MeSH</w:t>
      </w:r>
      <w:proofErr w:type="spellEnd"/>
      <w:r w:rsidRPr="001B0045">
        <w:rPr>
          <w:rFonts w:ascii="Arial" w:eastAsia="Times New Roman" w:hAnsi="Arial" w:cs="Arial"/>
          <w:i/>
          <w:color w:val="24292E"/>
          <w:sz w:val="24"/>
          <w:szCs w:val="24"/>
        </w:rPr>
        <w:t xml:space="preserve">, ICD9/10, LOINC, ENVO, CHEBI, CHEMBL, PUBCHEM, </w:t>
      </w:r>
      <w:proofErr w:type="spellStart"/>
      <w:r w:rsidRPr="001B0045">
        <w:rPr>
          <w:rFonts w:ascii="Arial" w:eastAsia="Times New Roman" w:hAnsi="Arial" w:cs="Arial"/>
          <w:i/>
          <w:color w:val="24292E"/>
          <w:sz w:val="24"/>
          <w:szCs w:val="24"/>
        </w:rPr>
        <w:t>RxNORM</w:t>
      </w:r>
      <w:proofErr w:type="spellEnd"/>
      <w:r w:rsidRPr="001B0045">
        <w:rPr>
          <w:rFonts w:ascii="Arial" w:eastAsia="Times New Roman" w:hAnsi="Arial" w:cs="Arial"/>
          <w:i/>
          <w:color w:val="24292E"/>
          <w:sz w:val="24"/>
          <w:szCs w:val="24"/>
        </w:rPr>
        <w:t>, SMILES, CAS</w:t>
      </w:r>
    </w:p>
    <w:p w:rsidR="004464CD" w:rsidRPr="004464CD" w:rsidRDefault="004464CD" w:rsidP="004464CD">
      <w:pPr>
        <w:shd w:val="clear" w:color="auto" w:fill="FFFFFF"/>
        <w:spacing w:after="240" w:line="240" w:lineRule="auto"/>
        <w:ind w:left="360"/>
        <w:rPr>
          <w:rFonts w:ascii="Arial" w:eastAsia="Times New Roman" w:hAnsi="Arial" w:cs="Arial"/>
          <w:i/>
          <w:color w:val="24292E"/>
          <w:sz w:val="24"/>
          <w:szCs w:val="24"/>
        </w:rPr>
      </w:pPr>
      <w:r>
        <w:rPr>
          <w:rFonts w:ascii="Arial" w:eastAsia="Times New Roman" w:hAnsi="Arial" w:cs="Arial"/>
          <w:i/>
          <w:color w:val="24292E"/>
          <w:sz w:val="24"/>
          <w:szCs w:val="24"/>
        </w:rPr>
        <w:t>Cohort dictionary: users can obtain a list of all cohorts and their definitions for a given ICEES integrated feature table</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2. Feature-rich cohort discovery: users select a predefined cohort as the input parameter, and the service returns a profil</w:t>
      </w:r>
      <w:r w:rsidR="00552E14" w:rsidRPr="00D33513">
        <w:rPr>
          <w:rFonts w:ascii="Arial" w:eastAsia="Times New Roman" w:hAnsi="Arial" w:cs="Arial"/>
          <w:i/>
          <w:iCs/>
          <w:color w:val="24292E"/>
          <w:sz w:val="24"/>
          <w:szCs w:val="24"/>
        </w:rPr>
        <w:t>e of that cohort in terms of the available</w:t>
      </w:r>
      <w:r w:rsidRPr="00D33513">
        <w:rPr>
          <w:rFonts w:ascii="Arial" w:eastAsia="Times New Roman" w:hAnsi="Arial" w:cs="Arial"/>
          <w:i/>
          <w:iCs/>
          <w:color w:val="24292E"/>
          <w:sz w:val="24"/>
          <w:szCs w:val="24"/>
        </w:rPr>
        <w:t xml:space="preserve"> feature variables.</w:t>
      </w:r>
    </w:p>
    <w:p w:rsidR="004464CD" w:rsidRDefault="00EE2EC4" w:rsidP="00EE2EC4">
      <w:pPr>
        <w:shd w:val="clear" w:color="auto" w:fill="FFFFFF"/>
        <w:spacing w:after="240" w:line="240" w:lineRule="auto"/>
        <w:rPr>
          <w:rFonts w:ascii="Arial" w:eastAsia="Times New Roman" w:hAnsi="Arial" w:cs="Arial"/>
          <w:i/>
          <w:iCs/>
          <w:color w:val="24292E"/>
          <w:sz w:val="24"/>
          <w:szCs w:val="24"/>
        </w:rPr>
      </w:pPr>
      <w:r w:rsidRPr="00D33513">
        <w:rPr>
          <w:rFonts w:ascii="Arial" w:eastAsia="Times New Roman" w:hAnsi="Arial" w:cs="Arial"/>
          <w:i/>
          <w:iCs/>
          <w:color w:val="24292E"/>
          <w:sz w:val="24"/>
          <w:szCs w:val="24"/>
        </w:rPr>
        <w:lastRenderedPageBreak/>
        <w:t>3. Hypothesis-driven 2 x 2 feature associations: u</w:t>
      </w:r>
      <w:r w:rsidR="004464CD">
        <w:rPr>
          <w:rFonts w:ascii="Arial" w:eastAsia="Times New Roman" w:hAnsi="Arial" w:cs="Arial"/>
          <w:i/>
          <w:iCs/>
          <w:color w:val="24292E"/>
          <w:sz w:val="24"/>
          <w:szCs w:val="24"/>
        </w:rPr>
        <w:t xml:space="preserve">sers select a predefined cohort and </w:t>
      </w:r>
      <w:r w:rsidRPr="00D33513">
        <w:rPr>
          <w:rFonts w:ascii="Arial" w:eastAsia="Times New Roman" w:hAnsi="Arial" w:cs="Arial"/>
          <w:i/>
          <w:iCs/>
          <w:color w:val="24292E"/>
          <w:sz w:val="24"/>
          <w:szCs w:val="24"/>
        </w:rPr>
        <w:t>two feature variables, and the service returns a 2 x 2 feature table with a corresponding Chi Square statistic and P value.</w:t>
      </w:r>
    </w:p>
    <w:p w:rsidR="004464CD" w:rsidRDefault="004464CD" w:rsidP="00441AE7">
      <w:pPr>
        <w:shd w:val="clear" w:color="auto" w:fill="FFFFFF"/>
        <w:spacing w:after="240" w:line="240" w:lineRule="auto"/>
        <w:ind w:left="360"/>
        <w:rPr>
          <w:rFonts w:ascii="Arial" w:eastAsia="Times New Roman" w:hAnsi="Arial" w:cs="Arial"/>
          <w:i/>
          <w:iCs/>
          <w:color w:val="24292E"/>
          <w:sz w:val="24"/>
          <w:szCs w:val="24"/>
        </w:rPr>
      </w:pPr>
      <w:r>
        <w:rPr>
          <w:rFonts w:ascii="Arial" w:eastAsia="Times New Roman" w:hAnsi="Arial" w:cs="Arial"/>
          <w:i/>
          <w:iCs/>
          <w:color w:val="24292E"/>
          <w:sz w:val="24"/>
          <w:szCs w:val="24"/>
        </w:rPr>
        <w:t xml:space="preserve">Hypothesis-driven 2 X 2 feature associations with combined binning option: users select a predefined cohort, two feature variables, and bins, which can be combined, </w:t>
      </w:r>
      <w:proofErr w:type="gramStart"/>
      <w:r>
        <w:rPr>
          <w:rFonts w:ascii="Arial" w:eastAsia="Times New Roman" w:hAnsi="Arial" w:cs="Arial"/>
          <w:i/>
          <w:iCs/>
          <w:color w:val="24292E"/>
          <w:sz w:val="24"/>
          <w:szCs w:val="24"/>
        </w:rPr>
        <w:t>and</w:t>
      </w:r>
      <w:proofErr w:type="gramEnd"/>
      <w:r>
        <w:rPr>
          <w:rFonts w:ascii="Arial" w:eastAsia="Times New Roman" w:hAnsi="Arial" w:cs="Arial"/>
          <w:i/>
          <w:iCs/>
          <w:color w:val="24292E"/>
          <w:sz w:val="24"/>
          <w:szCs w:val="24"/>
        </w:rPr>
        <w:t xml:space="preserve"> the service returns a </w:t>
      </w:r>
      <w:r w:rsidRPr="00D33513">
        <w:rPr>
          <w:rFonts w:ascii="Arial" w:eastAsia="Times New Roman" w:hAnsi="Arial" w:cs="Arial"/>
          <w:i/>
          <w:iCs/>
          <w:color w:val="24292E"/>
          <w:sz w:val="24"/>
          <w:szCs w:val="24"/>
        </w:rPr>
        <w:t>2 x 2 feature table with a corresponding Chi Square statistic and P value.</w:t>
      </w:r>
    </w:p>
    <w:p w:rsidR="00EE2EC4" w:rsidRDefault="00EE2EC4" w:rsidP="00EE2EC4">
      <w:pPr>
        <w:shd w:val="clear" w:color="auto" w:fill="FFFFFF"/>
        <w:spacing w:after="240" w:line="240" w:lineRule="auto"/>
        <w:rPr>
          <w:rFonts w:ascii="Arial" w:eastAsia="Times New Roman" w:hAnsi="Arial" w:cs="Arial"/>
          <w:i/>
          <w:iCs/>
          <w:color w:val="24292E"/>
          <w:sz w:val="24"/>
          <w:szCs w:val="24"/>
        </w:rPr>
      </w:pPr>
      <w:r w:rsidRPr="00D33513">
        <w:rPr>
          <w:rFonts w:ascii="Arial" w:eastAsia="Times New Roman" w:hAnsi="Arial" w:cs="Arial"/>
          <w:i/>
          <w:iCs/>
          <w:color w:val="24292E"/>
          <w:sz w:val="24"/>
          <w:szCs w:val="24"/>
        </w:rPr>
        <w:t>4. Exploratory 1 X N feature associations: users select a predefined cohort and a feature variable of interest, and the service returns a 1 x N feature table with corrected Chi Square statistics and associated P values.</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color w:val="24292E"/>
          <w:sz w:val="24"/>
          <w:szCs w:val="24"/>
        </w:rPr>
        <w:t>ICEES can be used for scientific inference and discovery, although important caveats must be considered. The main considerations when working with ICEES are outlined below.</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1. All feature varia</w:t>
      </w:r>
      <w:r w:rsidR="004464CD">
        <w:rPr>
          <w:rFonts w:ascii="Arial" w:eastAsia="Times New Roman" w:hAnsi="Arial" w:cs="Arial"/>
          <w:i/>
          <w:iCs/>
          <w:color w:val="24292E"/>
          <w:sz w:val="24"/>
          <w:szCs w:val="24"/>
        </w:rPr>
        <w:t>bles have been binned or recoded</w:t>
      </w:r>
      <w:r w:rsidR="00552E14" w:rsidRPr="00D33513">
        <w:rPr>
          <w:rFonts w:ascii="Arial" w:eastAsia="Times New Roman" w:hAnsi="Arial" w:cs="Arial"/>
          <w:i/>
          <w:iCs/>
          <w:color w:val="24292E"/>
          <w:sz w:val="24"/>
          <w:szCs w:val="24"/>
        </w:rPr>
        <w:t>.</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2. The integrated feature tables are designed for different 'study' periods (currently defined as calendar years).</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3. The integrated feature tables are designed to provide access to either patient-level data or visit-level data.</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 xml:space="preserve">4. All inferences must </w:t>
      </w:r>
      <w:r w:rsidR="009A63EE" w:rsidRPr="00D33513">
        <w:rPr>
          <w:rFonts w:ascii="Arial" w:eastAsia="Times New Roman" w:hAnsi="Arial" w:cs="Arial"/>
          <w:i/>
          <w:iCs/>
          <w:color w:val="24292E"/>
          <w:sz w:val="24"/>
          <w:szCs w:val="24"/>
        </w:rPr>
        <w:t xml:space="preserve">be made with respect to the </w:t>
      </w:r>
      <w:r w:rsidRPr="00D33513">
        <w:rPr>
          <w:rFonts w:ascii="Arial" w:eastAsia="Times New Roman" w:hAnsi="Arial" w:cs="Arial"/>
          <w:i/>
          <w:iCs/>
          <w:color w:val="24292E"/>
          <w:sz w:val="24"/>
          <w:szCs w:val="24"/>
        </w:rPr>
        <w:t>binning strategy, 'study' design, and type of integrated feature table.</w:t>
      </w:r>
    </w:p>
    <w:p w:rsidR="004464CD" w:rsidRDefault="00EE2EC4" w:rsidP="004464CD">
      <w:pPr>
        <w:pStyle w:val="HTMLPreformatted"/>
        <w:rPr>
          <w:rFonts w:ascii="Courier New" w:eastAsia="Times New Roman" w:hAnsi="Courier New" w:cs="Courier New"/>
          <w:b/>
          <w:bCs/>
          <w:sz w:val="18"/>
          <w:szCs w:val="18"/>
        </w:rPr>
      </w:pPr>
      <w:r w:rsidRPr="004464CD">
        <w:rPr>
          <w:rFonts w:ascii="Arial" w:eastAsia="Times New Roman" w:hAnsi="Arial" w:cs="Arial"/>
          <w:i/>
          <w:iCs/>
          <w:sz w:val="24"/>
          <w:szCs w:val="24"/>
        </w:rPr>
        <w:t xml:space="preserve">Access to ICEES is open to </w:t>
      </w:r>
      <w:r w:rsidR="004464CD" w:rsidRPr="004464CD">
        <w:rPr>
          <w:rFonts w:ascii="Arial" w:eastAsia="Times New Roman" w:hAnsi="Arial" w:cs="Arial"/>
          <w:i/>
          <w:iCs/>
          <w:sz w:val="24"/>
          <w:szCs w:val="24"/>
        </w:rPr>
        <w:t>anyone</w:t>
      </w:r>
      <w:r w:rsidRPr="004464CD">
        <w:rPr>
          <w:rFonts w:ascii="Arial" w:eastAsia="Times New Roman" w:hAnsi="Arial" w:cs="Arial"/>
          <w:i/>
          <w:iCs/>
          <w:sz w:val="24"/>
          <w:szCs w:val="24"/>
        </w:rPr>
        <w:t xml:space="preserve"> and is not su</w:t>
      </w:r>
      <w:r w:rsidR="004464CD" w:rsidRPr="004464CD">
        <w:rPr>
          <w:rFonts w:ascii="Arial" w:eastAsia="Times New Roman" w:hAnsi="Arial" w:cs="Arial"/>
          <w:i/>
          <w:iCs/>
          <w:sz w:val="24"/>
          <w:szCs w:val="24"/>
        </w:rPr>
        <w:t xml:space="preserve">bject to regulatory constraints; however, users are encouraged </w:t>
      </w:r>
      <w:r w:rsidR="004464CD">
        <w:rPr>
          <w:rFonts w:ascii="Arial" w:eastAsia="Times New Roman" w:hAnsi="Arial" w:cs="Arial"/>
          <w:i/>
          <w:iCs/>
          <w:sz w:val="24"/>
          <w:szCs w:val="24"/>
        </w:rPr>
        <w:t>to abide by the following ICEES terms and conditions:</w:t>
      </w:r>
    </w:p>
    <w:p w:rsidR="004464CD" w:rsidRPr="004464CD" w:rsidRDefault="004464CD" w:rsidP="004464CD">
      <w:pPr>
        <w:pStyle w:val="HTMLPreformatted"/>
        <w:ind w:left="720"/>
        <w:rPr>
          <w:rFonts w:ascii="Courier New" w:eastAsia="Times New Roman" w:hAnsi="Courier New" w:cs="Courier New"/>
          <w:b/>
          <w:bCs/>
          <w:sz w:val="18"/>
          <w:szCs w:val="18"/>
        </w:rPr>
      </w:pPr>
      <w:r w:rsidRPr="004464CD">
        <w:rPr>
          <w:rFonts w:ascii="Courier New" w:eastAsia="Times New Roman" w:hAnsi="Courier New" w:cs="Courier New"/>
          <w:b/>
          <w:bCs/>
          <w:sz w:val="18"/>
          <w:szCs w:val="18"/>
        </w:rPr>
        <w:t xml:space="preserve">"The Translator Integrated Clinical and Environmental Exposures Service (ICEES) is providing you with Data that have been de-identified in accordance with 45 C.F.R. §§ 164.514(a) and (b) and that UNC Health Care System (UNCHCS) is permitted to provide under 45 C.F.R. § 164.502(d)(2). Recipient agrees to notify UNCHCS via NC </w:t>
      </w:r>
      <w:proofErr w:type="spellStart"/>
      <w:r w:rsidRPr="004464CD">
        <w:rPr>
          <w:rFonts w:ascii="Courier New" w:eastAsia="Times New Roman" w:hAnsi="Courier New" w:cs="Courier New"/>
          <w:b/>
          <w:bCs/>
          <w:sz w:val="18"/>
          <w:szCs w:val="18"/>
        </w:rPr>
        <w:t>TraCS</w:t>
      </w:r>
      <w:proofErr w:type="spellEnd"/>
      <w:r w:rsidRPr="004464CD">
        <w:rPr>
          <w:rFonts w:ascii="Courier New" w:eastAsia="Times New Roman" w:hAnsi="Courier New" w:cs="Courier New"/>
          <w:b/>
          <w:bCs/>
          <w:sz w:val="18"/>
          <w:szCs w:val="18"/>
        </w:rPr>
        <w:t xml:space="preserve"> in the event that Recipient receives any identifiable data in error and to take such measures to return the identifiable data and/or destroy it</w:t>
      </w:r>
      <w:r w:rsidR="00441AE7">
        <w:rPr>
          <w:rFonts w:ascii="Courier New" w:eastAsia="Times New Roman" w:hAnsi="Courier New" w:cs="Courier New"/>
          <w:b/>
          <w:bCs/>
          <w:sz w:val="18"/>
          <w:szCs w:val="18"/>
        </w:rPr>
        <w:t xml:space="preserve"> at the direction of </w:t>
      </w:r>
      <w:proofErr w:type="spellStart"/>
      <w:r w:rsidR="00441AE7">
        <w:rPr>
          <w:rFonts w:ascii="Courier New" w:eastAsia="Times New Roman" w:hAnsi="Courier New" w:cs="Courier New"/>
          <w:b/>
          <w:bCs/>
          <w:sz w:val="18"/>
          <w:szCs w:val="18"/>
        </w:rPr>
        <w:t>UNCHCS.</w:t>
      </w:r>
      <w:r w:rsidRPr="004464CD">
        <w:rPr>
          <w:rFonts w:ascii="Courier New" w:eastAsia="Times New Roman" w:hAnsi="Courier New" w:cs="Courier New"/>
          <w:b/>
          <w:bCs/>
          <w:sz w:val="18"/>
          <w:szCs w:val="18"/>
        </w:rPr>
        <w:t>Restrictions</w:t>
      </w:r>
      <w:proofErr w:type="spellEnd"/>
      <w:r w:rsidRPr="004464CD">
        <w:rPr>
          <w:rFonts w:ascii="Courier New" w:eastAsia="Times New Roman" w:hAnsi="Courier New" w:cs="Courier New"/>
          <w:b/>
          <w:bCs/>
          <w:sz w:val="18"/>
          <w:szCs w:val="18"/>
        </w:rPr>
        <w:t xml:space="preserve"> on Recipient’s Use of Data. Recipient further agrees to use the data exclusively for the purposes and functionalities provided by the ICEES: cohort discovery; feature-rich cohort discovery; hypothesis-driven queries; and exploratory queries. Recipient agrees to use appropriate safeguards to protect the Data from misuse and unauthorized access or disclosure. Recipient will report to UNCHCS any unauthorized access, use, or disclosure of the Data not provided for by the Service of which Recipient becomes aware. Recipient will not attempt to identify the individuals whose information is contained in any Data transferred pursuant to this Service Agreement or attempt to contact those individuals. Recipient agrees not to sell the Data to any third party for any purpose. Recipient agrees not to disclose or publish the Data in any manner that would identify the Data as originating from UNCHCS. Finally, Recipient agrees to reasonably limit the number of queries to the Service per IP address within a given time interval, in order to prevent rap</w:t>
      </w:r>
      <w:r w:rsidR="00441AE7">
        <w:rPr>
          <w:rFonts w:ascii="Courier New" w:eastAsia="Times New Roman" w:hAnsi="Courier New" w:cs="Courier New"/>
          <w:b/>
          <w:bCs/>
          <w:sz w:val="18"/>
          <w:szCs w:val="18"/>
        </w:rPr>
        <w:t xml:space="preserve">id ‘attacks’ on the Service. </w:t>
      </w:r>
      <w:r w:rsidRPr="004464CD">
        <w:rPr>
          <w:rFonts w:ascii="Courier New" w:eastAsia="Times New Roman" w:hAnsi="Courier New" w:cs="Courier New"/>
          <w:b/>
          <w:bCs/>
          <w:sz w:val="18"/>
          <w:szCs w:val="18"/>
        </w:rPr>
        <w:t xml:space="preserve">We kindly request that Translator team members provide proper attribution for any products (e.g., manuscripts, podium presentations, </w:t>
      </w:r>
      <w:proofErr w:type="gramStart"/>
      <w:r w:rsidRPr="004464CD">
        <w:rPr>
          <w:rFonts w:ascii="Courier New" w:eastAsia="Times New Roman" w:hAnsi="Courier New" w:cs="Courier New"/>
          <w:b/>
          <w:bCs/>
          <w:sz w:val="18"/>
          <w:szCs w:val="18"/>
        </w:rPr>
        <w:t>software</w:t>
      </w:r>
      <w:proofErr w:type="gramEnd"/>
      <w:r w:rsidRPr="004464CD">
        <w:rPr>
          <w:rFonts w:ascii="Courier New" w:eastAsia="Times New Roman" w:hAnsi="Courier New" w:cs="Courier New"/>
          <w:b/>
          <w:bCs/>
          <w:sz w:val="18"/>
          <w:szCs w:val="18"/>
        </w:rPr>
        <w:t xml:space="preserve">) derived from work related to Green Team's clinical datasets. Attribution should include </w:t>
      </w:r>
      <w:r w:rsidRPr="004464CD">
        <w:rPr>
          <w:rFonts w:ascii="Courier New" w:eastAsia="Times New Roman" w:hAnsi="Courier New" w:cs="Courier New"/>
          <w:b/>
          <w:bCs/>
          <w:sz w:val="18"/>
          <w:szCs w:val="18"/>
        </w:rPr>
        <w:lastRenderedPageBreak/>
        <w:t xml:space="preserve">acknowledgement of the funder (National Center for Advancing Translational Sciences [NCATS], Biomedical Data Translator Program awards, OT3TR002020 and OT2TR002514), the North Carolina Translational and Clinical Sciences (NC </w:t>
      </w:r>
      <w:proofErr w:type="spellStart"/>
      <w:r w:rsidRPr="004464CD">
        <w:rPr>
          <w:rFonts w:ascii="Courier New" w:eastAsia="Times New Roman" w:hAnsi="Courier New" w:cs="Courier New"/>
          <w:b/>
          <w:bCs/>
          <w:sz w:val="18"/>
          <w:szCs w:val="18"/>
        </w:rPr>
        <w:t>TraCS</w:t>
      </w:r>
      <w:proofErr w:type="spellEnd"/>
      <w:r w:rsidRPr="004464CD">
        <w:rPr>
          <w:rFonts w:ascii="Courier New" w:eastAsia="Times New Roman" w:hAnsi="Courier New" w:cs="Courier New"/>
          <w:b/>
          <w:bCs/>
          <w:sz w:val="18"/>
          <w:szCs w:val="18"/>
        </w:rPr>
        <w:t>) Institute (NCATS, Center for Translati</w:t>
      </w:r>
      <w:r w:rsidR="00441AE7">
        <w:rPr>
          <w:rFonts w:ascii="Courier New" w:eastAsia="Times New Roman" w:hAnsi="Courier New" w:cs="Courier New"/>
          <w:b/>
          <w:bCs/>
          <w:sz w:val="18"/>
          <w:szCs w:val="18"/>
        </w:rPr>
        <w:t>onal Science Award, UL1TR002489),</w:t>
      </w:r>
      <w:r w:rsidRPr="004464CD">
        <w:rPr>
          <w:rFonts w:ascii="Courier New" w:eastAsia="Times New Roman" w:hAnsi="Courier New" w:cs="Courier New"/>
          <w:b/>
          <w:bCs/>
          <w:sz w:val="18"/>
          <w:szCs w:val="18"/>
        </w:rPr>
        <w:t xml:space="preserve"> UNC Hospitals and Health Care System, and all Green Team members who contributed to the work.</w:t>
      </w:r>
      <w:r>
        <w:rPr>
          <w:rFonts w:ascii="Courier New" w:eastAsia="Times New Roman" w:hAnsi="Courier New" w:cs="Courier New"/>
          <w:b/>
          <w:bCs/>
          <w:sz w:val="18"/>
          <w:szCs w:val="18"/>
        </w:rPr>
        <w:t>”</w:t>
      </w:r>
    </w:p>
    <w:p w:rsidR="00EE2EC4" w:rsidRPr="004464CD" w:rsidRDefault="00EE2EC4" w:rsidP="004464CD">
      <w:pPr>
        <w:spacing w:after="240" w:line="240" w:lineRule="auto"/>
        <w:rPr>
          <w:rFonts w:ascii="Arial" w:eastAsia="Times New Roman" w:hAnsi="Arial" w:cs="Arial"/>
          <w:sz w:val="24"/>
          <w:szCs w:val="24"/>
        </w:rPr>
      </w:pPr>
    </w:p>
    <w:p w:rsidR="00EE2EC4" w:rsidRPr="00D33513" w:rsidRDefault="000D1061" w:rsidP="00EE2EC4">
      <w:pPr>
        <w:shd w:val="clear" w:color="auto" w:fill="FFFFFF"/>
        <w:spacing w:after="240" w:line="240" w:lineRule="auto"/>
        <w:rPr>
          <w:rFonts w:ascii="Arial" w:eastAsia="Times New Roman" w:hAnsi="Arial" w:cs="Arial"/>
          <w:color w:val="24292E"/>
          <w:sz w:val="24"/>
          <w:szCs w:val="24"/>
        </w:rPr>
      </w:pPr>
      <w:hyperlink r:id="rId13" w:history="1">
        <w:r w:rsidR="00EE2EC4" w:rsidRPr="00D33513">
          <w:rPr>
            <w:rFonts w:ascii="Arial" w:eastAsia="Times New Roman" w:hAnsi="Arial" w:cs="Arial"/>
            <w:b/>
            <w:bCs/>
            <w:color w:val="0366D6"/>
            <w:sz w:val="24"/>
            <w:szCs w:val="24"/>
          </w:rPr>
          <w:t>ICEES API</w:t>
        </w:r>
      </w:hyperlink>
    </w:p>
    <w:p w:rsidR="009A63EE" w:rsidRPr="00D33513" w:rsidRDefault="009A63EE" w:rsidP="009A63EE">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sidRPr="00D33513">
        <w:rPr>
          <w:rFonts w:ascii="Arial" w:eastAsia="Times New Roman" w:hAnsi="Arial" w:cs="Arial"/>
          <w:b/>
          <w:bCs/>
          <w:color w:val="24292E"/>
          <w:sz w:val="36"/>
          <w:szCs w:val="36"/>
        </w:rPr>
        <w:t>ICEES Preliminary Results</w:t>
      </w:r>
    </w:p>
    <w:p w:rsidR="00552E14" w:rsidRPr="000E4965" w:rsidRDefault="00C12D89" w:rsidP="009A63EE">
      <w:pPr>
        <w:rPr>
          <w:noProof/>
          <w:sz w:val="24"/>
          <w:szCs w:val="24"/>
        </w:rPr>
      </w:pPr>
      <w:r>
        <w:rPr>
          <w:rFonts w:ascii="Arial" w:hAnsi="Arial" w:cs="Arial"/>
          <w:sz w:val="24"/>
          <w:szCs w:val="24"/>
        </w:rPr>
        <w:t xml:space="preserve">The UI for the ICEES API remains under development </w:t>
      </w:r>
      <w:r w:rsidRPr="000E4965">
        <w:rPr>
          <w:rFonts w:ascii="Arial" w:hAnsi="Arial" w:cs="Arial"/>
          <w:sz w:val="24"/>
          <w:szCs w:val="24"/>
        </w:rPr>
        <w:t>(</w:t>
      </w:r>
      <w:r w:rsidRPr="000E4965">
        <w:rPr>
          <w:rFonts w:ascii="Arial" w:hAnsi="Arial" w:cs="Arial"/>
          <w:b/>
          <w:sz w:val="24"/>
          <w:szCs w:val="24"/>
        </w:rPr>
        <w:t>Figure 1</w:t>
      </w:r>
      <w:r w:rsidRPr="000E4965">
        <w:rPr>
          <w:rFonts w:ascii="Arial" w:hAnsi="Arial" w:cs="Arial"/>
          <w:sz w:val="24"/>
          <w:szCs w:val="24"/>
        </w:rPr>
        <w:t>)</w:t>
      </w:r>
      <w:r>
        <w:rPr>
          <w:rFonts w:ascii="Arial" w:hAnsi="Arial" w:cs="Arial"/>
          <w:sz w:val="24"/>
          <w:szCs w:val="24"/>
        </w:rPr>
        <w:t xml:space="preserve">. While it is functional, it is not very user-friendly. Scientific and technical team members have been working together to improve the design. </w:t>
      </w:r>
    </w:p>
    <w:p w:rsidR="003F738E" w:rsidRDefault="00E1285E" w:rsidP="009A63EE">
      <w:r>
        <w:rPr>
          <w:noProof/>
        </w:rPr>
        <w:drawing>
          <wp:inline distT="0" distB="0" distL="0" distR="0" wp14:anchorId="2E6DCA99" wp14:editId="5008C7B3">
            <wp:extent cx="586740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5130" r="1282" b="11916"/>
                    <a:stretch/>
                  </pic:blipFill>
                  <pic:spPr bwMode="auto">
                    <a:xfrm>
                      <a:off x="0" y="0"/>
                      <a:ext cx="5867400" cy="2771775"/>
                    </a:xfrm>
                    <a:prstGeom prst="rect">
                      <a:avLst/>
                    </a:prstGeom>
                    <a:ln>
                      <a:noFill/>
                    </a:ln>
                    <a:extLst>
                      <a:ext uri="{53640926-AAD7-44D8-BBD7-CCE9431645EC}">
                        <a14:shadowObscured xmlns:a14="http://schemas.microsoft.com/office/drawing/2010/main"/>
                      </a:ext>
                    </a:extLst>
                  </pic:spPr>
                </pic:pic>
              </a:graphicData>
            </a:graphic>
          </wp:inline>
        </w:drawing>
      </w:r>
    </w:p>
    <w:p w:rsidR="00552E14" w:rsidRPr="000E4965" w:rsidRDefault="00552E14" w:rsidP="009A63EE">
      <w:pPr>
        <w:rPr>
          <w:rFonts w:ascii="Arial" w:hAnsi="Arial" w:cs="Arial"/>
          <w:sz w:val="20"/>
          <w:szCs w:val="20"/>
        </w:rPr>
      </w:pPr>
      <w:r w:rsidRPr="000E4965">
        <w:rPr>
          <w:rFonts w:ascii="Arial" w:hAnsi="Arial" w:cs="Arial"/>
          <w:b/>
          <w:sz w:val="20"/>
          <w:szCs w:val="20"/>
        </w:rPr>
        <w:t xml:space="preserve">Figure 1. </w:t>
      </w:r>
      <w:r w:rsidRPr="000E4965">
        <w:rPr>
          <w:rFonts w:ascii="Arial" w:hAnsi="Arial" w:cs="Arial"/>
          <w:sz w:val="20"/>
          <w:szCs w:val="20"/>
        </w:rPr>
        <w:t xml:space="preserve">The ICEES </w:t>
      </w:r>
      <w:r w:rsidR="00F43A25">
        <w:rPr>
          <w:rFonts w:ascii="Arial" w:hAnsi="Arial" w:cs="Arial"/>
          <w:sz w:val="20"/>
          <w:szCs w:val="20"/>
        </w:rPr>
        <w:t>API/</w:t>
      </w:r>
      <w:r w:rsidR="007B0984">
        <w:rPr>
          <w:rFonts w:ascii="Arial" w:hAnsi="Arial" w:cs="Arial"/>
          <w:sz w:val="20"/>
          <w:szCs w:val="20"/>
        </w:rPr>
        <w:t>UI</w:t>
      </w:r>
      <w:r w:rsidRPr="000E4965">
        <w:rPr>
          <w:rFonts w:ascii="Arial" w:hAnsi="Arial" w:cs="Arial"/>
          <w:sz w:val="20"/>
          <w:szCs w:val="20"/>
        </w:rPr>
        <w:t>.</w:t>
      </w:r>
    </w:p>
    <w:p w:rsidR="00323439" w:rsidRDefault="00323439" w:rsidP="009A63EE">
      <w:pPr>
        <w:rPr>
          <w:rFonts w:ascii="Arial" w:hAnsi="Arial" w:cs="Arial"/>
          <w:sz w:val="24"/>
          <w:szCs w:val="24"/>
        </w:rPr>
      </w:pPr>
    </w:p>
    <w:p w:rsidR="00C12D89" w:rsidRDefault="00C12D89" w:rsidP="009A63EE">
      <w:pPr>
        <w:rPr>
          <w:rFonts w:ascii="Arial" w:hAnsi="Arial" w:cs="Arial"/>
          <w:sz w:val="24"/>
          <w:szCs w:val="24"/>
        </w:rPr>
      </w:pPr>
      <w:r>
        <w:rPr>
          <w:rFonts w:ascii="Arial" w:hAnsi="Arial" w:cs="Arial"/>
          <w:sz w:val="24"/>
          <w:szCs w:val="24"/>
        </w:rPr>
        <w:t xml:space="preserve">ICEES was developed </w:t>
      </w:r>
      <w:r w:rsidR="00323439">
        <w:rPr>
          <w:rFonts w:ascii="Arial" w:hAnsi="Arial" w:cs="Arial"/>
          <w:sz w:val="24"/>
          <w:szCs w:val="24"/>
        </w:rPr>
        <w:t xml:space="preserve">with 10 embedded safeguards in order to ensure patient privacy and abide by HIPAA Safe Harbor. Those safeguards include the </w:t>
      </w:r>
      <w:r w:rsidR="00787D61">
        <w:rPr>
          <w:rFonts w:ascii="Arial" w:hAnsi="Arial" w:cs="Arial"/>
          <w:sz w:val="24"/>
          <w:szCs w:val="24"/>
        </w:rPr>
        <w:t>fact that</w:t>
      </w:r>
      <w:r w:rsidR="00323439">
        <w:rPr>
          <w:rFonts w:ascii="Arial" w:hAnsi="Arial" w:cs="Arial"/>
          <w:sz w:val="24"/>
          <w:szCs w:val="24"/>
        </w:rPr>
        <w:t xml:space="preserve"> usage agreements </w:t>
      </w:r>
      <w:r w:rsidR="00787D61">
        <w:rPr>
          <w:rFonts w:ascii="Arial" w:hAnsi="Arial" w:cs="Arial"/>
          <w:sz w:val="24"/>
          <w:szCs w:val="24"/>
        </w:rPr>
        <w:t xml:space="preserve">are returned </w:t>
      </w:r>
      <w:r w:rsidR="00323439">
        <w:rPr>
          <w:rFonts w:ascii="Arial" w:hAnsi="Arial" w:cs="Arial"/>
          <w:sz w:val="24"/>
          <w:szCs w:val="24"/>
        </w:rPr>
        <w:t>to users with all queries of the service (</w:t>
      </w:r>
      <w:r w:rsidR="00323439">
        <w:rPr>
          <w:rFonts w:ascii="Arial" w:hAnsi="Arial" w:cs="Arial"/>
          <w:b/>
          <w:sz w:val="24"/>
          <w:szCs w:val="24"/>
        </w:rPr>
        <w:t>Figure 2</w:t>
      </w:r>
      <w:r w:rsidR="00323439">
        <w:rPr>
          <w:rFonts w:ascii="Arial" w:hAnsi="Arial" w:cs="Arial"/>
          <w:sz w:val="24"/>
          <w:szCs w:val="24"/>
        </w:rPr>
        <w:t>).</w:t>
      </w: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Pr="00F43A25" w:rsidRDefault="00F43A25" w:rsidP="00F43A25">
      <w:pPr>
        <w:pStyle w:val="ListParagraph"/>
        <w:numPr>
          <w:ilvl w:val="0"/>
          <w:numId w:val="5"/>
        </w:numPr>
        <w:rPr>
          <w:rFonts w:ascii="Arial" w:hAnsi="Arial" w:cs="Arial"/>
          <w:b/>
          <w:sz w:val="24"/>
          <w:szCs w:val="24"/>
        </w:rPr>
      </w:pPr>
      <w:r>
        <w:rPr>
          <w:rFonts w:ascii="Arial" w:hAnsi="Arial" w:cs="Arial"/>
          <w:b/>
          <w:sz w:val="24"/>
          <w:szCs w:val="24"/>
        </w:rPr>
        <w:lastRenderedPageBreak/>
        <w:t>Example ICEES API Output</w:t>
      </w:r>
    </w:p>
    <w:p w:rsidR="00323439" w:rsidRDefault="00323439" w:rsidP="009A63EE">
      <w:pPr>
        <w:rPr>
          <w:rFonts w:ascii="Arial" w:hAnsi="Arial" w:cs="Arial"/>
          <w:sz w:val="24"/>
          <w:szCs w:val="24"/>
        </w:rPr>
      </w:pPr>
      <w:r>
        <w:rPr>
          <w:noProof/>
        </w:rPr>
        <w:drawing>
          <wp:inline distT="0" distB="0" distL="0" distR="0" wp14:anchorId="53D9F620" wp14:editId="6BC4178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794ADB" w:rsidRDefault="005C6EB7" w:rsidP="00323439">
      <w:pPr>
        <w:rPr>
          <w:rFonts w:ascii="Arial" w:hAnsi="Arial" w:cs="Arial"/>
          <w:b/>
          <w:color w:val="24292E"/>
          <w:sz w:val="24"/>
          <w:szCs w:val="24"/>
          <w:shd w:val="clear" w:color="auto" w:fill="FFFFFF"/>
        </w:rPr>
      </w:pPr>
      <w:r>
        <w:rPr>
          <w:rFonts w:ascii="Arial" w:hAnsi="Arial" w:cs="Arial"/>
          <w:b/>
          <w:noProof/>
          <w:color w:val="24292E"/>
          <w:sz w:val="24"/>
          <w:szCs w:val="24"/>
        </w:rPr>
        <mc:AlternateContent>
          <mc:Choice Requires="wps">
            <w:drawing>
              <wp:anchor distT="0" distB="0" distL="114300" distR="114300" simplePos="0" relativeHeight="251659264" behindDoc="0" locked="0" layoutInCell="1" allowOverlap="1">
                <wp:simplePos x="0" y="0"/>
                <wp:positionH relativeFrom="column">
                  <wp:posOffset>-67310</wp:posOffset>
                </wp:positionH>
                <wp:positionV relativeFrom="paragraph">
                  <wp:posOffset>267335</wp:posOffset>
                </wp:positionV>
                <wp:extent cx="6100762" cy="3262312"/>
                <wp:effectExtent l="0" t="0" r="14605" b="14605"/>
                <wp:wrapNone/>
                <wp:docPr id="3" name="Rectangle 3"/>
                <wp:cNvGraphicFramePr/>
                <a:graphic xmlns:a="http://schemas.openxmlformats.org/drawingml/2006/main">
                  <a:graphicData uri="http://schemas.microsoft.com/office/word/2010/wordprocessingShape">
                    <wps:wsp>
                      <wps:cNvSpPr/>
                      <wps:spPr>
                        <a:xfrm>
                          <a:off x="0" y="0"/>
                          <a:ext cx="6100762" cy="32623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69710C2F" id="Rectangle 3" o:spid="_x0000_s1026" style="position:absolute;margin-left:-5.3pt;margin-top:21.05pt;width:480.35pt;height:256.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" filled="f" strokecolor="#1f4d78 [1604]" strokeweight="1pt"/>
            </w:pict>
          </mc:Fallback>
        </mc:AlternateContent>
      </w:r>
      <w:r w:rsidR="00794ADB" w:rsidRPr="00794ADB">
        <w:rPr>
          <w:rFonts w:ascii="Arial" w:hAnsi="Arial" w:cs="Arial"/>
          <w:b/>
          <w:color w:val="24292E"/>
          <w:sz w:val="24"/>
          <w:szCs w:val="24"/>
          <w:shd w:val="clear" w:color="auto" w:fill="FFFFFF"/>
        </w:rPr>
        <w:t>B.</w:t>
      </w:r>
      <w:r w:rsidR="00F43A25">
        <w:rPr>
          <w:rFonts w:ascii="Arial" w:hAnsi="Arial" w:cs="Arial"/>
          <w:b/>
          <w:color w:val="24292E"/>
          <w:sz w:val="24"/>
          <w:szCs w:val="24"/>
          <w:shd w:val="clear" w:color="auto" w:fill="FFFFFF"/>
        </w:rPr>
        <w:t xml:space="preserve"> ICEES Recommended Terms and Conditions of Use</w:t>
      </w:r>
    </w:p>
    <w:p w:rsidR="005C6EB7" w:rsidRPr="005114F9" w:rsidRDefault="005C6EB7" w:rsidP="005C6EB7">
      <w:pPr>
        <w:pStyle w:val="ListParagraph"/>
        <w:ind w:left="0"/>
        <w:rPr>
          <w:rFonts w:ascii="Times New Roman" w:hAnsi="Times New Roman" w:cs="Times New Roman"/>
        </w:rPr>
      </w:pPr>
      <w:r>
        <w:rPr>
          <w:rFonts w:ascii="Times New Roman" w:hAnsi="Times New Roman" w:cs="Times New Roman"/>
        </w:rPr>
        <w:t xml:space="preserve">The Translator Integrated Clinical and Environmental Exposures Service (ICEES) is providing you with Data that have been de-identified in accordance with 45 C.F.R. §§ 164.514(a) and (b) and that UNC Health Care System (UNCHCS) is permitted to provide under 45 C.F.R. § 164.502(d)(2). Recipient agrees to notify UNCHCS </w:t>
      </w:r>
      <w:r w:rsidRPr="00FE0106">
        <w:rPr>
          <w:rFonts w:ascii="Times New Roman" w:hAnsi="Times New Roman" w:cs="Times New Roman"/>
        </w:rPr>
        <w:t xml:space="preserve">via </w:t>
      </w:r>
      <w:hyperlink r:id="rId16" w:history="1">
        <w:r w:rsidRPr="00977B7C">
          <w:rPr>
            <w:rStyle w:val="Hyperlink"/>
            <w:rFonts w:ascii="Times New Roman" w:hAnsi="Times New Roman" w:cs="Times New Roman"/>
          </w:rPr>
          <w:t xml:space="preserve">NC </w:t>
        </w:r>
        <w:proofErr w:type="spellStart"/>
        <w:r w:rsidRPr="00977B7C">
          <w:rPr>
            <w:rStyle w:val="Hyperlink"/>
            <w:rFonts w:ascii="Times New Roman" w:hAnsi="Times New Roman" w:cs="Times New Roman"/>
          </w:rPr>
          <w:t>TraCS</w:t>
        </w:r>
        <w:proofErr w:type="spellEnd"/>
      </w:hyperlink>
      <w:r w:rsidRPr="00FE0106">
        <w:rPr>
          <w:rFonts w:ascii="Times New Roman" w:hAnsi="Times New Roman" w:cs="Times New Roman"/>
        </w:rPr>
        <w:t xml:space="preserve"> </w:t>
      </w:r>
      <w:r>
        <w:rPr>
          <w:rFonts w:ascii="Times New Roman" w:hAnsi="Times New Roman" w:cs="Times New Roman"/>
        </w:rPr>
        <w:t xml:space="preserve">in the event that Recipient receives any identifiable data in error and to take such measures to return the identifiable data and/or destroy it at the direction of UNCHCS. </w:t>
      </w:r>
    </w:p>
    <w:p w:rsidR="005C6EB7" w:rsidRPr="005114F9" w:rsidRDefault="005C6EB7" w:rsidP="005C6EB7">
      <w:pPr>
        <w:pStyle w:val="ListParagraph"/>
        <w:ind w:left="0"/>
        <w:rPr>
          <w:rFonts w:ascii="Times New Roman" w:hAnsi="Times New Roman" w:cs="Times New Roman"/>
        </w:rPr>
      </w:pPr>
    </w:p>
    <w:p w:rsidR="005C6EB7" w:rsidRPr="005114F9" w:rsidRDefault="005C6EB7" w:rsidP="005C6EB7">
      <w:pPr>
        <w:pStyle w:val="ListParagraph"/>
        <w:ind w:left="0"/>
        <w:rPr>
          <w:rFonts w:ascii="Times New Roman" w:hAnsi="Times New Roman" w:cs="Times New Roman"/>
          <w:b/>
        </w:rPr>
      </w:pPr>
      <w:r w:rsidRPr="005114F9">
        <w:rPr>
          <w:rFonts w:ascii="Times New Roman" w:hAnsi="Times New Roman" w:cs="Times New Roman"/>
          <w:b/>
        </w:rPr>
        <w:t xml:space="preserve">Restrictions on </w:t>
      </w:r>
      <w:r>
        <w:rPr>
          <w:rFonts w:ascii="Times New Roman" w:hAnsi="Times New Roman" w:cs="Times New Roman"/>
          <w:b/>
        </w:rPr>
        <w:t>Recipient</w:t>
      </w:r>
      <w:r w:rsidRPr="005114F9">
        <w:rPr>
          <w:rFonts w:ascii="Times New Roman" w:hAnsi="Times New Roman" w:cs="Times New Roman"/>
          <w:b/>
        </w:rPr>
        <w:t>’s Use of Data.</w:t>
      </w:r>
    </w:p>
    <w:p w:rsidR="00794ADB" w:rsidRPr="005C6EB7" w:rsidRDefault="005C6EB7" w:rsidP="00323439">
      <w:pPr>
        <w:rPr>
          <w:rFonts w:ascii="Times New Roman" w:hAnsi="Times New Roman" w:cs="Times New Roman"/>
        </w:rPr>
      </w:pPr>
      <w:r>
        <w:rPr>
          <w:rFonts w:ascii="Times New Roman" w:hAnsi="Times New Roman" w:cs="Times New Roman"/>
        </w:rPr>
        <w:t>Recipient further agrees to use the data exclusively for the purposes and functionalities provided by the ICEES: cohort discovery; feature-rich cohort discovery; hypothesis-driven queries; and exploratory queries. Recipient</w:t>
      </w:r>
      <w:r w:rsidRPr="005114F9">
        <w:rPr>
          <w:rFonts w:ascii="Times New Roman" w:hAnsi="Times New Roman" w:cs="Times New Roman"/>
        </w:rPr>
        <w:t xml:space="preserve"> agrees to use appropriate safeguards to protect the Data from misuse</w:t>
      </w:r>
      <w:r>
        <w:rPr>
          <w:rFonts w:ascii="Times New Roman" w:hAnsi="Times New Roman" w:cs="Times New Roman"/>
        </w:rPr>
        <w:t xml:space="preserve"> and unauthorized access or disclosure. Recipient</w:t>
      </w:r>
      <w:r w:rsidRPr="005114F9">
        <w:rPr>
          <w:rFonts w:ascii="Times New Roman" w:hAnsi="Times New Roman" w:cs="Times New Roman"/>
        </w:rPr>
        <w:t xml:space="preserve"> will report to </w:t>
      </w:r>
      <w:r>
        <w:rPr>
          <w:rFonts w:ascii="Times New Roman" w:hAnsi="Times New Roman" w:cs="Times New Roman"/>
        </w:rPr>
        <w:t>UNCHCS</w:t>
      </w:r>
      <w:r w:rsidRPr="005114F9">
        <w:rPr>
          <w:rFonts w:ascii="Times New Roman" w:hAnsi="Times New Roman" w:cs="Times New Roman"/>
        </w:rPr>
        <w:t xml:space="preserve"> any </w:t>
      </w:r>
      <w:r>
        <w:rPr>
          <w:rFonts w:ascii="Times New Roman" w:hAnsi="Times New Roman" w:cs="Times New Roman"/>
        </w:rPr>
        <w:t xml:space="preserve">unauthorized access, </w:t>
      </w:r>
      <w:r w:rsidRPr="005114F9">
        <w:rPr>
          <w:rFonts w:ascii="Times New Roman" w:hAnsi="Times New Roman" w:cs="Times New Roman"/>
        </w:rPr>
        <w:t>use</w:t>
      </w:r>
      <w:r>
        <w:rPr>
          <w:rFonts w:ascii="Times New Roman" w:hAnsi="Times New Roman" w:cs="Times New Roman"/>
        </w:rPr>
        <w:t>,</w:t>
      </w:r>
      <w:r w:rsidRPr="005114F9">
        <w:rPr>
          <w:rFonts w:ascii="Times New Roman" w:hAnsi="Times New Roman" w:cs="Times New Roman"/>
        </w:rPr>
        <w:t xml:space="preserve"> or disclosure of the Data not provided for by th</w:t>
      </w:r>
      <w:r>
        <w:rPr>
          <w:rFonts w:ascii="Times New Roman" w:hAnsi="Times New Roman" w:cs="Times New Roman"/>
        </w:rPr>
        <w:t>e Service</w:t>
      </w:r>
      <w:r w:rsidRPr="005114F9">
        <w:rPr>
          <w:rFonts w:ascii="Times New Roman" w:hAnsi="Times New Roman" w:cs="Times New Roman"/>
        </w:rPr>
        <w:t xml:space="preserve"> of which </w:t>
      </w:r>
      <w:r>
        <w:rPr>
          <w:rFonts w:ascii="Times New Roman" w:hAnsi="Times New Roman" w:cs="Times New Roman"/>
        </w:rPr>
        <w:t>Recipient</w:t>
      </w:r>
      <w:r w:rsidRPr="005114F9">
        <w:rPr>
          <w:rFonts w:ascii="Times New Roman" w:hAnsi="Times New Roman" w:cs="Times New Roman"/>
        </w:rPr>
        <w:t xml:space="preserve"> becomes aware. </w:t>
      </w:r>
      <w:r>
        <w:rPr>
          <w:rFonts w:ascii="Times New Roman" w:hAnsi="Times New Roman" w:cs="Times New Roman"/>
        </w:rPr>
        <w:t>Recipient</w:t>
      </w:r>
      <w:r w:rsidRPr="005114F9">
        <w:rPr>
          <w:rFonts w:ascii="Times New Roman" w:hAnsi="Times New Roman" w:cs="Times New Roman"/>
        </w:rPr>
        <w:t xml:space="preserve"> will not attempt to identify the individuals whose information is contained in </w:t>
      </w:r>
      <w:r>
        <w:rPr>
          <w:rFonts w:ascii="Times New Roman" w:hAnsi="Times New Roman" w:cs="Times New Roman"/>
        </w:rPr>
        <w:t>any</w:t>
      </w:r>
      <w:r w:rsidRPr="005114F9">
        <w:rPr>
          <w:rFonts w:ascii="Times New Roman" w:hAnsi="Times New Roman" w:cs="Times New Roman"/>
        </w:rPr>
        <w:t xml:space="preserve"> Data </w:t>
      </w:r>
      <w:r>
        <w:rPr>
          <w:rFonts w:ascii="Times New Roman" w:hAnsi="Times New Roman" w:cs="Times New Roman"/>
        </w:rPr>
        <w:t xml:space="preserve">transferred pursuant to this Service Agreement </w:t>
      </w:r>
      <w:r w:rsidRPr="005114F9">
        <w:rPr>
          <w:rFonts w:ascii="Times New Roman" w:hAnsi="Times New Roman" w:cs="Times New Roman"/>
        </w:rPr>
        <w:t>or attempt to contact those individuals.</w:t>
      </w:r>
      <w:r>
        <w:rPr>
          <w:rFonts w:ascii="Times New Roman" w:hAnsi="Times New Roman" w:cs="Times New Roman"/>
        </w:rPr>
        <w:t xml:space="preserve"> Recipient agrees not to sell the Data to any third party for any purpose. Recipient agrees not to disclose or publish the Data in any manner that would identify the Data as originating from UNCHCS. Finally, Recipient agrees to reasonably limit the number of queries to the Service per IP address within a given time interval, in order to prevent rapid ‘attacks’ on the Service.</w:t>
      </w:r>
      <w:r w:rsidRPr="00D93BCC">
        <w:rPr>
          <w:rFonts w:ascii="Times New Roman" w:hAnsi="Times New Roman" w:cs="Times New Roman"/>
        </w:rPr>
        <w:t xml:space="preserve"> </w:t>
      </w:r>
    </w:p>
    <w:p w:rsidR="00323439" w:rsidRPr="000E4965" w:rsidRDefault="00323439" w:rsidP="00323439">
      <w:pPr>
        <w:rPr>
          <w:rFonts w:ascii="Arial" w:hAnsi="Arial" w:cs="Arial"/>
          <w:color w:val="24292E"/>
          <w:sz w:val="20"/>
          <w:szCs w:val="20"/>
          <w:shd w:val="clear" w:color="auto" w:fill="FFFFFF"/>
        </w:rPr>
      </w:pPr>
      <w:r w:rsidRPr="000E4965">
        <w:rPr>
          <w:rFonts w:ascii="Arial" w:hAnsi="Arial" w:cs="Arial"/>
          <w:b/>
          <w:color w:val="24292E"/>
          <w:sz w:val="20"/>
          <w:szCs w:val="20"/>
          <w:shd w:val="clear" w:color="auto" w:fill="FFFFFF"/>
        </w:rPr>
        <w:t xml:space="preserve">Figure 2. </w:t>
      </w:r>
      <w:r w:rsidR="006526D2">
        <w:rPr>
          <w:rFonts w:ascii="Arial" w:hAnsi="Arial" w:cs="Arial"/>
          <w:b/>
          <w:color w:val="24292E"/>
          <w:sz w:val="20"/>
          <w:szCs w:val="20"/>
          <w:shd w:val="clear" w:color="auto" w:fill="FFFFFF"/>
        </w:rPr>
        <w:t xml:space="preserve">A. </w:t>
      </w:r>
      <w:r w:rsidRPr="000E4965">
        <w:rPr>
          <w:rFonts w:ascii="Arial" w:hAnsi="Arial" w:cs="Arial"/>
          <w:color w:val="24292E"/>
          <w:sz w:val="20"/>
          <w:szCs w:val="20"/>
          <w:shd w:val="clear" w:color="auto" w:fill="FFFFFF"/>
        </w:rPr>
        <w:t>Screenshot of output from the ICEES API</w:t>
      </w:r>
      <w:r w:rsidR="006526D2">
        <w:rPr>
          <w:rFonts w:ascii="Arial" w:hAnsi="Arial" w:cs="Arial"/>
          <w:color w:val="24292E"/>
          <w:sz w:val="20"/>
          <w:szCs w:val="20"/>
          <w:shd w:val="clear" w:color="auto" w:fill="FFFFFF"/>
        </w:rPr>
        <w:t xml:space="preserve">. </w:t>
      </w:r>
      <w:r w:rsidR="00794ADB" w:rsidRPr="00794ADB">
        <w:rPr>
          <w:rFonts w:ascii="Arial" w:hAnsi="Arial" w:cs="Arial"/>
          <w:b/>
          <w:color w:val="24292E"/>
          <w:sz w:val="20"/>
          <w:szCs w:val="20"/>
          <w:shd w:val="clear" w:color="auto" w:fill="FFFFFF"/>
        </w:rPr>
        <w:t>B.</w:t>
      </w:r>
      <w:r w:rsidR="00794ADB">
        <w:rPr>
          <w:rFonts w:ascii="Arial" w:hAnsi="Arial" w:cs="Arial"/>
          <w:color w:val="24292E"/>
          <w:sz w:val="20"/>
          <w:szCs w:val="20"/>
          <w:shd w:val="clear" w:color="auto" w:fill="FFFFFF"/>
        </w:rPr>
        <w:t xml:space="preserve"> </w:t>
      </w:r>
      <w:r w:rsidR="006526D2">
        <w:rPr>
          <w:rFonts w:ascii="Arial" w:hAnsi="Arial" w:cs="Arial"/>
          <w:color w:val="24292E"/>
          <w:sz w:val="20"/>
          <w:szCs w:val="20"/>
          <w:shd w:val="clear" w:color="auto" w:fill="FFFFFF"/>
        </w:rPr>
        <w:t>A more user-friendly version. T</w:t>
      </w:r>
      <w:r w:rsidRPr="000E4965">
        <w:rPr>
          <w:rFonts w:ascii="Arial" w:hAnsi="Arial" w:cs="Arial"/>
          <w:color w:val="24292E"/>
          <w:sz w:val="20"/>
          <w:szCs w:val="20"/>
          <w:shd w:val="clear" w:color="auto" w:fill="FFFFFF"/>
        </w:rPr>
        <w:t xml:space="preserve">erms and conditions of use. As a safeguard, a set of usage agreements is returned to users as the initial response to all queries of the service. </w:t>
      </w:r>
    </w:p>
    <w:p w:rsidR="00323439" w:rsidRDefault="00323439" w:rsidP="009A63EE">
      <w:pPr>
        <w:rPr>
          <w:rFonts w:ascii="Arial" w:hAnsi="Arial" w:cs="Arial"/>
          <w:sz w:val="24"/>
          <w:szCs w:val="24"/>
        </w:rPr>
      </w:pPr>
    </w:p>
    <w:p w:rsidR="00552E14" w:rsidRDefault="00C12D89" w:rsidP="009A63EE">
      <w:r w:rsidRPr="000E4965">
        <w:rPr>
          <w:rFonts w:ascii="Arial" w:hAnsi="Arial" w:cs="Arial"/>
          <w:sz w:val="24"/>
          <w:szCs w:val="24"/>
        </w:rPr>
        <w:lastRenderedPageBreak/>
        <w:t>While we are still analyzing the integrated feature tables that are behind the ICEES API and refining the binning strategy for feature variables, the preliminary results look promising.</w:t>
      </w:r>
    </w:p>
    <w:p w:rsidR="003F738E" w:rsidRPr="00323439" w:rsidRDefault="002E2B62" w:rsidP="009A63EE">
      <w:pPr>
        <w:rPr>
          <w:rFonts w:ascii="Arial" w:hAnsi="Arial" w:cs="Arial"/>
          <w:sz w:val="24"/>
          <w:szCs w:val="24"/>
          <w:shd w:val="clear" w:color="auto" w:fill="FFFFFF"/>
        </w:rPr>
      </w:pPr>
      <w:r w:rsidRPr="00323439">
        <w:rPr>
          <w:rFonts w:ascii="Arial" w:hAnsi="Arial" w:cs="Arial"/>
          <w:sz w:val="24"/>
          <w:szCs w:val="24"/>
        </w:rPr>
        <w:t>For ins</w:t>
      </w:r>
      <w:r w:rsidR="0009594C" w:rsidRPr="00323439">
        <w:rPr>
          <w:rFonts w:ascii="Arial" w:hAnsi="Arial" w:cs="Arial"/>
          <w:sz w:val="24"/>
          <w:szCs w:val="24"/>
        </w:rPr>
        <w:t xml:space="preserve">tance, </w:t>
      </w:r>
      <w:r w:rsidR="00E1285E">
        <w:rPr>
          <w:rFonts w:ascii="Arial" w:hAnsi="Arial" w:cs="Arial"/>
          <w:sz w:val="24"/>
          <w:szCs w:val="24"/>
        </w:rPr>
        <w:t xml:space="preserve">as part of our driving use case on asthma, </w:t>
      </w:r>
      <w:r w:rsidR="0009594C" w:rsidRPr="00323439">
        <w:rPr>
          <w:rFonts w:ascii="Arial" w:hAnsi="Arial" w:cs="Arial"/>
          <w:sz w:val="24"/>
          <w:szCs w:val="24"/>
        </w:rPr>
        <w:t xml:space="preserve">Green Team </w:t>
      </w:r>
      <w:r w:rsidR="00E1285E">
        <w:rPr>
          <w:rFonts w:ascii="Arial" w:hAnsi="Arial" w:cs="Arial"/>
          <w:sz w:val="24"/>
          <w:szCs w:val="24"/>
        </w:rPr>
        <w:t xml:space="preserve">developed a list of “competency questions” (CQs). </w:t>
      </w:r>
      <w:r w:rsidR="0009594C" w:rsidRPr="00323439">
        <w:rPr>
          <w:rFonts w:ascii="Arial" w:hAnsi="Arial" w:cs="Arial"/>
          <w:sz w:val="24"/>
          <w:szCs w:val="24"/>
        </w:rPr>
        <w:t>CQ</w:t>
      </w:r>
      <w:r w:rsidRPr="00323439">
        <w:rPr>
          <w:rFonts w:ascii="Arial" w:hAnsi="Arial" w:cs="Arial"/>
          <w:sz w:val="24"/>
          <w:szCs w:val="24"/>
        </w:rPr>
        <w:t>1</w:t>
      </w:r>
      <w:r w:rsidR="00E1285E">
        <w:rPr>
          <w:rFonts w:ascii="Arial" w:hAnsi="Arial" w:cs="Arial"/>
          <w:sz w:val="24"/>
          <w:szCs w:val="24"/>
        </w:rPr>
        <w:t xml:space="preserve"> states</w:t>
      </w:r>
      <w:r w:rsidRPr="00323439">
        <w:rPr>
          <w:rFonts w:ascii="Arial" w:hAnsi="Arial" w:cs="Arial"/>
          <w:sz w:val="24"/>
          <w:szCs w:val="24"/>
        </w:rPr>
        <w:t xml:space="preserve">: </w:t>
      </w:r>
      <w:r w:rsidR="00953CD8" w:rsidRPr="00323439">
        <w:rPr>
          <w:rFonts w:ascii="Arial" w:hAnsi="Arial" w:cs="Arial"/>
          <w:sz w:val="24"/>
          <w:szCs w:val="24"/>
          <w:shd w:val="clear" w:color="auto" w:fill="FFFFFF"/>
        </w:rPr>
        <w:t>Among pediatric patients with an 'asthma-like phenotype', is exposure to particulate matter &lt;=2.5 micrometers in diameter (PM2.5) and ozone associated wit</w:t>
      </w:r>
      <w:r w:rsidR="00552E14" w:rsidRPr="00323439">
        <w:rPr>
          <w:rFonts w:ascii="Arial" w:hAnsi="Arial" w:cs="Arial"/>
          <w:sz w:val="24"/>
          <w:szCs w:val="24"/>
          <w:shd w:val="clear" w:color="auto" w:fill="FFFFFF"/>
        </w:rPr>
        <w:t xml:space="preserve">h responsiveness to treatment? </w:t>
      </w:r>
      <w:r w:rsidR="00953CD8" w:rsidRPr="00323439">
        <w:rPr>
          <w:rFonts w:ascii="Arial" w:hAnsi="Arial" w:cs="Arial"/>
          <w:sz w:val="24"/>
          <w:szCs w:val="24"/>
          <w:shd w:val="clear" w:color="auto" w:fill="FFFFFF"/>
        </w:rPr>
        <w:t>In other words, are exposures higher in patients who are non-responsive to treatment than in patients w</w:t>
      </w:r>
      <w:r w:rsidR="00552E14" w:rsidRPr="00323439">
        <w:rPr>
          <w:rFonts w:ascii="Arial" w:hAnsi="Arial" w:cs="Arial"/>
          <w:sz w:val="24"/>
          <w:szCs w:val="24"/>
          <w:shd w:val="clear" w:color="auto" w:fill="FFFFFF"/>
        </w:rPr>
        <w:t>ho are responsive to treatment?</w:t>
      </w:r>
    </w:p>
    <w:p w:rsidR="00BF032C" w:rsidRDefault="0009594C" w:rsidP="00D33513">
      <w:pPr>
        <w:rPr>
          <w:rFonts w:ascii="Arial" w:hAnsi="Arial" w:cs="Arial"/>
          <w:sz w:val="24"/>
          <w:szCs w:val="24"/>
          <w:shd w:val="clear" w:color="auto" w:fill="FFFFFF"/>
        </w:rPr>
      </w:pPr>
      <w:r w:rsidRPr="00323439">
        <w:rPr>
          <w:rFonts w:ascii="Arial" w:hAnsi="Arial" w:cs="Arial"/>
          <w:sz w:val="24"/>
          <w:szCs w:val="24"/>
          <w:shd w:val="clear" w:color="auto" w:fill="FFFFFF"/>
        </w:rPr>
        <w:t>CQ1 was developed to validate the prototype Translator system, our data sources, and our overall approach</w:t>
      </w:r>
      <w:r w:rsidR="00C93AE4" w:rsidRPr="00323439">
        <w:rPr>
          <w:rFonts w:ascii="Arial" w:hAnsi="Arial" w:cs="Arial"/>
          <w:sz w:val="24"/>
          <w:szCs w:val="24"/>
          <w:shd w:val="clear" w:color="auto" w:fill="FFFFFF"/>
        </w:rPr>
        <w:t xml:space="preserve">; i.e., </w:t>
      </w:r>
      <w:r w:rsidRPr="00323439">
        <w:rPr>
          <w:rFonts w:ascii="Arial" w:hAnsi="Arial" w:cs="Arial"/>
          <w:sz w:val="24"/>
          <w:szCs w:val="24"/>
          <w:shd w:val="clear" w:color="auto" w:fill="FFFFFF"/>
        </w:rPr>
        <w:t>a wealth of literature demonstrates an association between PM2.5 and ozone exposure and responsiveness to treatment (or asthma exacerbations)</w:t>
      </w:r>
      <w:r w:rsidR="00C93AE4" w:rsidRPr="00323439">
        <w:rPr>
          <w:rFonts w:ascii="Arial" w:hAnsi="Arial" w:cs="Arial"/>
          <w:sz w:val="24"/>
          <w:szCs w:val="24"/>
          <w:shd w:val="clear" w:color="auto" w:fill="FFFFFF"/>
        </w:rPr>
        <w:t xml:space="preserve">, </w:t>
      </w:r>
      <w:r w:rsidR="00552E14" w:rsidRPr="00323439">
        <w:rPr>
          <w:rFonts w:ascii="Arial" w:hAnsi="Arial" w:cs="Arial"/>
          <w:sz w:val="24"/>
          <w:szCs w:val="24"/>
          <w:shd w:val="clear" w:color="auto" w:fill="FFFFFF"/>
        </w:rPr>
        <w:t>so</w:t>
      </w:r>
      <w:r w:rsidR="00C93AE4" w:rsidRPr="00323439">
        <w:rPr>
          <w:rFonts w:ascii="Arial" w:hAnsi="Arial" w:cs="Arial"/>
          <w:sz w:val="24"/>
          <w:szCs w:val="24"/>
          <w:shd w:val="clear" w:color="auto" w:fill="FFFFFF"/>
        </w:rPr>
        <w:t xml:space="preserve"> we should be able to replicate this finding</w:t>
      </w:r>
      <w:r w:rsidR="00CC7F8E">
        <w:rPr>
          <w:rFonts w:ascii="Arial" w:hAnsi="Arial" w:cs="Arial"/>
          <w:sz w:val="24"/>
          <w:szCs w:val="24"/>
          <w:shd w:val="clear" w:color="auto" w:fill="FFFFFF"/>
        </w:rPr>
        <w:t xml:space="preserve">. </w:t>
      </w:r>
      <w:r w:rsidR="00A314EA">
        <w:rPr>
          <w:rFonts w:ascii="Arial" w:hAnsi="Arial" w:cs="Arial"/>
          <w:sz w:val="24"/>
          <w:szCs w:val="24"/>
          <w:shd w:val="clear" w:color="auto" w:fill="FFFFFF"/>
        </w:rPr>
        <w:t>Indeed, the</w:t>
      </w:r>
      <w:r w:rsidRPr="00323439">
        <w:rPr>
          <w:rFonts w:ascii="Arial" w:hAnsi="Arial" w:cs="Arial"/>
          <w:sz w:val="24"/>
          <w:szCs w:val="24"/>
          <w:shd w:val="clear" w:color="auto" w:fill="FFFFFF"/>
        </w:rPr>
        <w:t xml:space="preserve"> preliminary results are clearly in the intended direction</w:t>
      </w:r>
      <w:r w:rsidR="00552E14" w:rsidRPr="00323439">
        <w:rPr>
          <w:rFonts w:ascii="Arial" w:hAnsi="Arial" w:cs="Arial"/>
          <w:sz w:val="24"/>
          <w:szCs w:val="24"/>
          <w:shd w:val="clear" w:color="auto" w:fill="FFFFFF"/>
        </w:rPr>
        <w:t xml:space="preserve"> (</w:t>
      </w:r>
      <w:r w:rsidR="00552E14" w:rsidRPr="00323439">
        <w:rPr>
          <w:rFonts w:ascii="Arial" w:hAnsi="Arial" w:cs="Arial"/>
          <w:b/>
          <w:sz w:val="24"/>
          <w:szCs w:val="24"/>
          <w:shd w:val="clear" w:color="auto" w:fill="FFFFFF"/>
        </w:rPr>
        <w:t>Figure</w:t>
      </w:r>
      <w:r w:rsidR="00323439">
        <w:rPr>
          <w:rFonts w:ascii="Arial" w:hAnsi="Arial" w:cs="Arial"/>
          <w:b/>
          <w:sz w:val="24"/>
          <w:szCs w:val="24"/>
          <w:shd w:val="clear" w:color="auto" w:fill="FFFFFF"/>
        </w:rPr>
        <w:t xml:space="preserve"> </w:t>
      </w:r>
      <w:r w:rsidR="00D33513" w:rsidRPr="00323439">
        <w:rPr>
          <w:rFonts w:ascii="Arial" w:hAnsi="Arial" w:cs="Arial"/>
          <w:b/>
          <w:sz w:val="24"/>
          <w:szCs w:val="24"/>
          <w:shd w:val="clear" w:color="auto" w:fill="FFFFFF"/>
        </w:rPr>
        <w:t>3</w:t>
      </w:r>
      <w:r w:rsidR="00552E14" w:rsidRPr="00323439">
        <w:rPr>
          <w:rFonts w:ascii="Arial" w:hAnsi="Arial" w:cs="Arial"/>
          <w:sz w:val="24"/>
          <w:szCs w:val="24"/>
          <w:shd w:val="clear" w:color="auto" w:fill="FFFFFF"/>
        </w:rPr>
        <w:t>)</w:t>
      </w:r>
      <w:r w:rsidRPr="00323439">
        <w:rPr>
          <w:rFonts w:ascii="Arial" w:hAnsi="Arial" w:cs="Arial"/>
          <w:sz w:val="24"/>
          <w:szCs w:val="24"/>
          <w:shd w:val="clear" w:color="auto" w:fill="FFFFFF"/>
        </w:rPr>
        <w:t>.</w:t>
      </w:r>
    </w:p>
    <w:p w:rsidR="00421033" w:rsidRPr="00421033" w:rsidRDefault="00421033" w:rsidP="00421033">
      <w:pPr>
        <w:pStyle w:val="ListParagraph"/>
        <w:numPr>
          <w:ilvl w:val="0"/>
          <w:numId w:val="3"/>
        </w:numPr>
        <w:rPr>
          <w:rFonts w:ascii="Arial" w:hAnsi="Arial" w:cs="Arial"/>
          <w:b/>
          <w:sz w:val="24"/>
          <w:szCs w:val="24"/>
          <w:shd w:val="clear" w:color="auto" w:fill="FFFFFF"/>
        </w:rPr>
      </w:pPr>
      <w:r>
        <w:rPr>
          <w:rFonts w:ascii="Arial" w:hAnsi="Arial" w:cs="Arial"/>
          <w:b/>
          <w:sz w:val="24"/>
          <w:szCs w:val="24"/>
          <w:shd w:val="clear" w:color="auto" w:fill="FFFFFF"/>
        </w:rPr>
        <w:t>Average Daily PM2.5 Exposure and ED/inpatient visits for respiratory issues</w:t>
      </w:r>
    </w:p>
    <w:p w:rsidR="00421033" w:rsidRDefault="00421033" w:rsidP="00D33513">
      <w:pPr>
        <w:rPr>
          <w:rFonts w:ascii="Arial" w:hAnsi="Arial" w:cs="Arial"/>
          <w:sz w:val="24"/>
          <w:szCs w:val="24"/>
          <w:shd w:val="clear" w:color="auto" w:fill="FFFFFF"/>
        </w:rPr>
      </w:pPr>
      <w:r>
        <w:rPr>
          <w:noProof/>
        </w:rPr>
        <w:drawing>
          <wp:inline distT="0" distB="0" distL="0" distR="0" wp14:anchorId="55AFC2C6" wp14:editId="3F72FE1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421033" w:rsidRDefault="00421033" w:rsidP="00D33513">
      <w:pPr>
        <w:rPr>
          <w:rFonts w:ascii="Arial" w:hAnsi="Arial" w:cs="Arial"/>
          <w:sz w:val="24"/>
          <w:szCs w:val="24"/>
          <w:shd w:val="clear" w:color="auto" w:fill="FFFFFF"/>
        </w:rPr>
      </w:pPr>
    </w:p>
    <w:p w:rsidR="00421033" w:rsidRDefault="00421033" w:rsidP="00D33513">
      <w:pPr>
        <w:rPr>
          <w:rFonts w:ascii="Arial" w:hAnsi="Arial" w:cs="Arial"/>
          <w:sz w:val="24"/>
          <w:szCs w:val="24"/>
          <w:shd w:val="clear" w:color="auto" w:fill="FFFFFF"/>
        </w:rPr>
      </w:pPr>
    </w:p>
    <w:p w:rsidR="00421033" w:rsidRDefault="00421033" w:rsidP="00D33513">
      <w:pPr>
        <w:rPr>
          <w:rFonts w:ascii="Arial" w:hAnsi="Arial" w:cs="Arial"/>
          <w:sz w:val="24"/>
          <w:szCs w:val="24"/>
          <w:shd w:val="clear" w:color="auto" w:fill="FFFFFF"/>
        </w:rPr>
      </w:pPr>
    </w:p>
    <w:p w:rsidR="00421033" w:rsidRDefault="00421033" w:rsidP="00D33513">
      <w:pPr>
        <w:rPr>
          <w:rFonts w:ascii="Arial" w:hAnsi="Arial" w:cs="Arial"/>
          <w:sz w:val="24"/>
          <w:szCs w:val="24"/>
          <w:shd w:val="clear" w:color="auto" w:fill="FFFFFF"/>
        </w:rPr>
      </w:pPr>
    </w:p>
    <w:p w:rsidR="00421033" w:rsidRDefault="00421033" w:rsidP="00D33513">
      <w:pPr>
        <w:rPr>
          <w:rFonts w:ascii="Arial" w:hAnsi="Arial" w:cs="Arial"/>
          <w:sz w:val="24"/>
          <w:szCs w:val="24"/>
          <w:shd w:val="clear" w:color="auto" w:fill="FFFFFF"/>
        </w:rPr>
      </w:pPr>
    </w:p>
    <w:p w:rsidR="00421033" w:rsidRDefault="00421033" w:rsidP="00D33513">
      <w:pPr>
        <w:rPr>
          <w:rFonts w:ascii="Arial" w:hAnsi="Arial" w:cs="Arial"/>
          <w:sz w:val="24"/>
          <w:szCs w:val="24"/>
          <w:shd w:val="clear" w:color="auto" w:fill="FFFFFF"/>
        </w:rPr>
      </w:pPr>
    </w:p>
    <w:p w:rsidR="00421033" w:rsidRPr="00421033" w:rsidRDefault="00421033" w:rsidP="00421033">
      <w:pPr>
        <w:pStyle w:val="ListParagraph"/>
        <w:numPr>
          <w:ilvl w:val="0"/>
          <w:numId w:val="3"/>
        </w:numPr>
        <w:rPr>
          <w:rFonts w:ascii="Arial" w:hAnsi="Arial" w:cs="Arial"/>
          <w:b/>
          <w:sz w:val="24"/>
          <w:szCs w:val="24"/>
          <w:shd w:val="clear" w:color="auto" w:fill="FFFFFF"/>
        </w:rPr>
      </w:pPr>
      <w:r>
        <w:rPr>
          <w:rFonts w:ascii="Arial" w:hAnsi="Arial" w:cs="Arial"/>
          <w:b/>
          <w:sz w:val="24"/>
          <w:szCs w:val="24"/>
          <w:shd w:val="clear" w:color="auto" w:fill="FFFFFF"/>
        </w:rPr>
        <w:t>Maximum</w:t>
      </w:r>
      <w:r>
        <w:rPr>
          <w:rFonts w:ascii="Arial" w:hAnsi="Arial" w:cs="Arial"/>
          <w:b/>
          <w:sz w:val="24"/>
          <w:szCs w:val="24"/>
          <w:shd w:val="clear" w:color="auto" w:fill="FFFFFF"/>
        </w:rPr>
        <w:t xml:space="preserve"> Daily PM2.5 Exposure and ED/inpatient visits for respiratory issues</w:t>
      </w:r>
    </w:p>
    <w:p w:rsidR="00953CD8" w:rsidRDefault="00676C8C" w:rsidP="009A63EE">
      <w:r>
        <w:rPr>
          <w:noProof/>
        </w:rPr>
        <w:drawing>
          <wp:inline distT="0" distB="0" distL="0" distR="0" wp14:anchorId="6E9F6171" wp14:editId="171DBE7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7E5CD2" w:rsidRDefault="00D33513" w:rsidP="009A63EE">
      <w:pPr>
        <w:rPr>
          <w:rFonts w:ascii="Arial" w:hAnsi="Arial" w:cs="Arial"/>
          <w:sz w:val="20"/>
          <w:szCs w:val="20"/>
        </w:rPr>
      </w:pPr>
      <w:r w:rsidRPr="000E4965">
        <w:rPr>
          <w:rFonts w:ascii="Arial" w:hAnsi="Arial" w:cs="Arial"/>
          <w:b/>
          <w:sz w:val="20"/>
          <w:szCs w:val="20"/>
        </w:rPr>
        <w:t>Figure 3</w:t>
      </w:r>
      <w:r w:rsidR="00552E14" w:rsidRPr="000E4965">
        <w:rPr>
          <w:rFonts w:ascii="Arial" w:hAnsi="Arial" w:cs="Arial"/>
          <w:b/>
          <w:sz w:val="20"/>
          <w:szCs w:val="20"/>
        </w:rPr>
        <w:t xml:space="preserve">. </w:t>
      </w:r>
      <w:r w:rsidR="00552E14" w:rsidRPr="000E4965">
        <w:rPr>
          <w:rFonts w:ascii="Arial" w:hAnsi="Arial" w:cs="Arial"/>
          <w:sz w:val="20"/>
          <w:szCs w:val="20"/>
        </w:rPr>
        <w:t>Screensh</w:t>
      </w:r>
      <w:r w:rsidRPr="000E4965">
        <w:rPr>
          <w:rFonts w:ascii="Arial" w:hAnsi="Arial" w:cs="Arial"/>
          <w:sz w:val="20"/>
          <w:szCs w:val="20"/>
        </w:rPr>
        <w:t>ot of output from the ICEES API</w:t>
      </w:r>
      <w:r w:rsidR="00BF032C">
        <w:rPr>
          <w:rFonts w:ascii="Arial" w:hAnsi="Arial" w:cs="Arial"/>
          <w:sz w:val="20"/>
          <w:szCs w:val="20"/>
        </w:rPr>
        <w:t xml:space="preserve">. The results demonstrate </w:t>
      </w:r>
      <w:r w:rsidR="007E5CD2" w:rsidRPr="000E4965">
        <w:rPr>
          <w:rFonts w:ascii="Arial" w:hAnsi="Arial" w:cs="Arial"/>
          <w:sz w:val="20"/>
          <w:szCs w:val="20"/>
        </w:rPr>
        <w:t>a</w:t>
      </w:r>
      <w:r w:rsidRPr="000E4965">
        <w:rPr>
          <w:rFonts w:ascii="Arial" w:hAnsi="Arial" w:cs="Arial"/>
          <w:sz w:val="20"/>
          <w:szCs w:val="20"/>
        </w:rPr>
        <w:t xml:space="preserve"> significant a</w:t>
      </w:r>
      <w:r w:rsidR="007E5CD2" w:rsidRPr="000E4965">
        <w:rPr>
          <w:rFonts w:ascii="Arial" w:hAnsi="Arial" w:cs="Arial"/>
          <w:sz w:val="20"/>
          <w:szCs w:val="20"/>
        </w:rPr>
        <w:t>ssociation between patient-level exposure to PM2.5</w:t>
      </w:r>
      <w:r w:rsidR="00421033">
        <w:rPr>
          <w:rFonts w:ascii="Arial" w:hAnsi="Arial" w:cs="Arial"/>
          <w:sz w:val="20"/>
          <w:szCs w:val="20"/>
        </w:rPr>
        <w:t xml:space="preserve"> (</w:t>
      </w:r>
      <w:r w:rsidR="00421033" w:rsidRPr="00F43A25">
        <w:rPr>
          <w:rFonts w:ascii="Arial" w:hAnsi="Arial" w:cs="Arial"/>
          <w:b/>
          <w:sz w:val="20"/>
          <w:szCs w:val="20"/>
        </w:rPr>
        <w:t>A</w:t>
      </w:r>
      <w:r w:rsidR="00421033">
        <w:rPr>
          <w:rFonts w:ascii="Arial" w:hAnsi="Arial" w:cs="Arial"/>
          <w:sz w:val="20"/>
          <w:szCs w:val="20"/>
        </w:rPr>
        <w:t xml:space="preserve">: average daily PM2.5 exposures; </w:t>
      </w:r>
      <w:r w:rsidR="00421033" w:rsidRPr="00F43A25">
        <w:rPr>
          <w:rFonts w:ascii="Arial" w:hAnsi="Arial" w:cs="Arial"/>
          <w:b/>
          <w:sz w:val="20"/>
          <w:szCs w:val="20"/>
        </w:rPr>
        <w:t>B</w:t>
      </w:r>
      <w:r w:rsidR="00421033">
        <w:rPr>
          <w:rFonts w:ascii="Arial" w:hAnsi="Arial" w:cs="Arial"/>
          <w:sz w:val="20"/>
          <w:szCs w:val="20"/>
        </w:rPr>
        <w:t>: maximum daily PM2.5 exposure)</w:t>
      </w:r>
      <w:r w:rsidR="007E5CD2" w:rsidRPr="000E4965">
        <w:rPr>
          <w:rFonts w:ascii="Arial" w:hAnsi="Arial" w:cs="Arial"/>
          <w:sz w:val="20"/>
          <w:szCs w:val="20"/>
        </w:rPr>
        <w:t xml:space="preserve"> and </w:t>
      </w:r>
      <w:r w:rsidRPr="000E4965">
        <w:rPr>
          <w:rFonts w:ascii="Arial" w:hAnsi="Arial" w:cs="Arial"/>
          <w:sz w:val="20"/>
          <w:szCs w:val="20"/>
        </w:rPr>
        <w:t>number of</w:t>
      </w:r>
      <w:r w:rsidR="0097780A">
        <w:rPr>
          <w:rFonts w:ascii="Arial" w:hAnsi="Arial" w:cs="Arial"/>
          <w:sz w:val="20"/>
          <w:szCs w:val="20"/>
        </w:rPr>
        <w:t xml:space="preserve"> ED or i</w:t>
      </w:r>
      <w:r w:rsidR="007E5CD2" w:rsidRPr="000E4965">
        <w:rPr>
          <w:rFonts w:ascii="Arial" w:hAnsi="Arial" w:cs="Arial"/>
          <w:sz w:val="20"/>
          <w:szCs w:val="20"/>
        </w:rPr>
        <w:t>npatient visits for respiratory issues</w:t>
      </w:r>
      <w:r w:rsidR="0097780A">
        <w:rPr>
          <w:rFonts w:ascii="Arial" w:hAnsi="Arial" w:cs="Arial"/>
          <w:sz w:val="20"/>
          <w:szCs w:val="20"/>
        </w:rPr>
        <w:t xml:space="preserve"> over a</w:t>
      </w:r>
      <w:r w:rsidR="007E5CD2" w:rsidRPr="000E4965">
        <w:rPr>
          <w:rFonts w:ascii="Arial" w:hAnsi="Arial" w:cs="Arial"/>
          <w:sz w:val="20"/>
          <w:szCs w:val="20"/>
        </w:rPr>
        <w:t xml:space="preserve"> one-year ‘study’ period.</w:t>
      </w:r>
    </w:p>
    <w:p w:rsidR="00EE2EC4" w:rsidRPr="00D33513" w:rsidRDefault="00EE2EC4" w:rsidP="00EE2EC4">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sidRPr="00D33513">
        <w:rPr>
          <w:rFonts w:ascii="Arial" w:eastAsia="Times New Roman" w:hAnsi="Arial" w:cs="Arial"/>
          <w:b/>
          <w:bCs/>
          <w:color w:val="24292E"/>
          <w:sz w:val="36"/>
          <w:szCs w:val="36"/>
        </w:rPr>
        <w:t>Green Team's Asthma-like Cohort</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b/>
          <w:bCs/>
          <w:color w:val="24292E"/>
          <w:sz w:val="24"/>
          <w:szCs w:val="24"/>
        </w:rPr>
        <w:t>Asthma-like cohort</w:t>
      </w:r>
      <w:r w:rsidRPr="00D33513">
        <w:rPr>
          <w:rFonts w:ascii="Arial" w:eastAsia="Times New Roman" w:hAnsi="Arial" w:cs="Arial"/>
          <w:color w:val="24292E"/>
          <w:sz w:val="24"/>
          <w:szCs w:val="24"/>
        </w:rPr>
        <w:t xml:space="preserve">: At present, </w:t>
      </w:r>
      <w:r w:rsidR="00D33513" w:rsidRPr="00D33513">
        <w:rPr>
          <w:rFonts w:ascii="Arial" w:eastAsia="Times New Roman" w:hAnsi="Arial" w:cs="Arial"/>
          <w:color w:val="24292E"/>
          <w:sz w:val="24"/>
          <w:szCs w:val="24"/>
        </w:rPr>
        <w:t>ICEES is restricted t</w:t>
      </w:r>
      <w:r w:rsidRPr="00D33513">
        <w:rPr>
          <w:rFonts w:ascii="Arial" w:eastAsia="Times New Roman" w:hAnsi="Arial" w:cs="Arial"/>
          <w:color w:val="24292E"/>
          <w:sz w:val="24"/>
          <w:szCs w:val="24"/>
        </w:rPr>
        <w:t>o patients with an ‘asthma-like’ phenotype</w:t>
      </w:r>
      <w:r w:rsidR="00D33513" w:rsidRPr="00D33513">
        <w:rPr>
          <w:rFonts w:ascii="Arial" w:eastAsia="Times New Roman" w:hAnsi="Arial" w:cs="Arial"/>
          <w:color w:val="24292E"/>
          <w:sz w:val="24"/>
          <w:szCs w:val="24"/>
        </w:rPr>
        <w:t>. However</w:t>
      </w:r>
      <w:r w:rsidRPr="00D33513">
        <w:rPr>
          <w:rFonts w:ascii="Arial" w:eastAsia="Times New Roman" w:hAnsi="Arial" w:cs="Arial"/>
          <w:color w:val="24292E"/>
          <w:sz w:val="24"/>
          <w:szCs w:val="24"/>
        </w:rPr>
        <w:t xml:space="preserve">, we are expanding ICEES to include additional patient cohorts (e.g., </w:t>
      </w:r>
      <w:r w:rsidR="00D33513" w:rsidRPr="00D33513">
        <w:rPr>
          <w:rFonts w:ascii="Arial" w:eastAsia="Times New Roman" w:hAnsi="Arial" w:cs="Arial"/>
          <w:color w:val="24292E"/>
          <w:sz w:val="24"/>
          <w:szCs w:val="24"/>
        </w:rPr>
        <w:t xml:space="preserve">pain, </w:t>
      </w:r>
      <w:r w:rsidRPr="00D33513">
        <w:rPr>
          <w:rFonts w:ascii="Arial" w:eastAsia="Times New Roman" w:hAnsi="Arial" w:cs="Arial"/>
          <w:color w:val="24292E"/>
          <w:sz w:val="24"/>
          <w:szCs w:val="24"/>
        </w:rPr>
        <w:t>obesity, diabetes, drug-induced liver injury).</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color w:val="24292E"/>
          <w:sz w:val="24"/>
          <w:szCs w:val="24"/>
        </w:rPr>
        <w:t>Patients with an asthma-like pheno</w:t>
      </w:r>
      <w:r w:rsidR="00B11FA5">
        <w:rPr>
          <w:rFonts w:ascii="Arial" w:eastAsia="Times New Roman" w:hAnsi="Arial" w:cs="Arial"/>
          <w:color w:val="24292E"/>
          <w:sz w:val="24"/>
          <w:szCs w:val="24"/>
        </w:rPr>
        <w:t>type were defined as follows:</w:t>
      </w:r>
      <w:r w:rsidR="00B11FA5">
        <w:rPr>
          <w:rStyle w:val="FootnoteReference"/>
          <w:rFonts w:ascii="Arial" w:eastAsia="Times New Roman" w:hAnsi="Arial" w:cs="Arial"/>
          <w:color w:val="24292E"/>
          <w:sz w:val="24"/>
          <w:szCs w:val="24"/>
        </w:rPr>
        <w:footnoteReference w:id="1"/>
      </w:r>
    </w:p>
    <w:p w:rsidR="00EE2EC4" w:rsidRPr="00CA7AEE" w:rsidRDefault="00EE2EC4" w:rsidP="00EE2EC4">
      <w:pPr>
        <w:shd w:val="clear" w:color="auto" w:fill="FFFFFF"/>
        <w:spacing w:after="240" w:line="240" w:lineRule="auto"/>
        <w:rPr>
          <w:rFonts w:ascii="Arial" w:eastAsia="Times New Roman" w:hAnsi="Arial" w:cs="Arial"/>
          <w:sz w:val="24"/>
          <w:szCs w:val="24"/>
        </w:rPr>
      </w:pPr>
      <w:r w:rsidRPr="00CA7AEE">
        <w:rPr>
          <w:rFonts w:ascii="Arial" w:eastAsia="Times New Roman" w:hAnsi="Arial" w:cs="Arial"/>
          <w:i/>
          <w:iCs/>
          <w:sz w:val="24"/>
          <w:szCs w:val="24"/>
        </w:rPr>
        <w:lastRenderedPageBreak/>
        <w:t>1. Patients with a diagnostic code of ‘asthma’ and prescribed or administered medications that are typically used to treat asthma;</w:t>
      </w:r>
    </w:p>
    <w:p w:rsidR="00EE2EC4" w:rsidRPr="00CA7AEE" w:rsidRDefault="00EE2EC4" w:rsidP="00EE2EC4">
      <w:pPr>
        <w:shd w:val="clear" w:color="auto" w:fill="FFFFFF"/>
        <w:spacing w:after="240" w:line="240" w:lineRule="auto"/>
        <w:rPr>
          <w:rFonts w:ascii="Arial" w:eastAsia="Times New Roman" w:hAnsi="Arial" w:cs="Arial"/>
          <w:sz w:val="24"/>
          <w:szCs w:val="24"/>
        </w:rPr>
      </w:pPr>
      <w:r w:rsidRPr="00CA7AEE">
        <w:rPr>
          <w:rFonts w:ascii="Arial" w:eastAsia="Times New Roman" w:hAnsi="Arial" w:cs="Arial"/>
          <w:i/>
          <w:iCs/>
          <w:sz w:val="24"/>
          <w:szCs w:val="24"/>
        </w:rPr>
        <w:t>2. Patients with a diagnostic code for a respiratory condition other than asthma and prescribed or administered medications that are typically used to treat asthma;</w:t>
      </w:r>
    </w:p>
    <w:p w:rsidR="00EE2EC4" w:rsidRPr="00CA7AEE" w:rsidRDefault="00EE2EC4" w:rsidP="00EE2EC4">
      <w:pPr>
        <w:shd w:val="clear" w:color="auto" w:fill="FFFFFF"/>
        <w:spacing w:after="240" w:line="240" w:lineRule="auto"/>
        <w:rPr>
          <w:rFonts w:ascii="Arial" w:eastAsia="Times New Roman" w:hAnsi="Arial" w:cs="Arial"/>
          <w:sz w:val="24"/>
          <w:szCs w:val="24"/>
        </w:rPr>
      </w:pPr>
      <w:r w:rsidRPr="00CA7AEE">
        <w:rPr>
          <w:rFonts w:ascii="Arial" w:eastAsia="Times New Roman" w:hAnsi="Arial" w:cs="Arial"/>
          <w:i/>
          <w:iCs/>
          <w:sz w:val="24"/>
          <w:szCs w:val="24"/>
        </w:rPr>
        <w:t>3. Patients with a diagnostic code for a respiratory condition other than asthma and prescribed tests or procedures that are typically used to diagnosis asthma; or</w:t>
      </w:r>
    </w:p>
    <w:p w:rsidR="00300758" w:rsidRPr="00CA7AEE" w:rsidRDefault="00EE2EC4" w:rsidP="00D33513">
      <w:pPr>
        <w:shd w:val="clear" w:color="auto" w:fill="FFFFFF"/>
        <w:spacing w:after="240" w:line="240" w:lineRule="auto"/>
        <w:rPr>
          <w:rFonts w:ascii="Arial" w:eastAsia="Times New Roman" w:hAnsi="Arial" w:cs="Arial"/>
          <w:i/>
          <w:iCs/>
          <w:sz w:val="24"/>
          <w:szCs w:val="24"/>
        </w:rPr>
      </w:pPr>
      <w:r w:rsidRPr="00CA7AEE">
        <w:rPr>
          <w:rFonts w:ascii="Arial" w:eastAsia="Times New Roman" w:hAnsi="Arial" w:cs="Arial"/>
          <w:i/>
          <w:iCs/>
          <w:sz w:val="24"/>
          <w:szCs w:val="24"/>
        </w:rPr>
        <w:t>4. Patients with a diagnostic code for a respiratory condition other than asthma and frequent ED visits with a</w:t>
      </w:r>
      <w:r w:rsidR="00D33513" w:rsidRPr="00CA7AEE">
        <w:rPr>
          <w:rFonts w:ascii="Arial" w:eastAsia="Times New Roman" w:hAnsi="Arial" w:cs="Arial"/>
          <w:i/>
          <w:iCs/>
          <w:sz w:val="24"/>
          <w:szCs w:val="24"/>
        </w:rPr>
        <w:t>lbuterol nebulizer administered.</w:t>
      </w:r>
    </w:p>
    <w:p w:rsidR="00CA7AEE" w:rsidRPr="00D33513" w:rsidRDefault="00CA7AEE" w:rsidP="00CA7AEE">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Pr>
          <w:rFonts w:ascii="Arial" w:eastAsia="Times New Roman" w:hAnsi="Arial" w:cs="Arial"/>
          <w:b/>
          <w:bCs/>
          <w:color w:val="24292E"/>
          <w:sz w:val="36"/>
          <w:szCs w:val="36"/>
        </w:rPr>
        <w:t xml:space="preserve">A Note </w:t>
      </w:r>
      <w:r w:rsidR="00C90BBB">
        <w:rPr>
          <w:rFonts w:ascii="Arial" w:eastAsia="Times New Roman" w:hAnsi="Arial" w:cs="Arial"/>
          <w:b/>
          <w:bCs/>
          <w:color w:val="24292E"/>
          <w:sz w:val="36"/>
          <w:szCs w:val="36"/>
        </w:rPr>
        <w:t>a</w:t>
      </w:r>
      <w:r>
        <w:rPr>
          <w:rFonts w:ascii="Arial" w:eastAsia="Times New Roman" w:hAnsi="Arial" w:cs="Arial"/>
          <w:b/>
          <w:bCs/>
          <w:color w:val="24292E"/>
          <w:sz w:val="36"/>
          <w:szCs w:val="36"/>
        </w:rPr>
        <w:t>bout Acknowledgements</w:t>
      </w:r>
    </w:p>
    <w:p w:rsidR="00300758" w:rsidRPr="00CA7AEE" w:rsidRDefault="00897989">
      <w:pPr>
        <w:rPr>
          <w:rFonts w:ascii="Arial" w:eastAsia="Times New Roman" w:hAnsi="Arial" w:cs="Arial"/>
          <w:b/>
          <w:i/>
          <w:iCs/>
          <w:color w:val="24292E"/>
          <w:sz w:val="24"/>
          <w:szCs w:val="24"/>
        </w:rPr>
      </w:pPr>
      <w:r w:rsidRPr="00897989">
        <w:rPr>
          <w:rStyle w:val="Strong"/>
          <w:rFonts w:ascii="Arial" w:hAnsi="Arial" w:cs="Arial"/>
          <w:b w:val="0"/>
          <w:color w:val="24292E"/>
          <w:sz w:val="24"/>
          <w:szCs w:val="24"/>
          <w:shd w:val="clear" w:color="auto" w:fill="FFFFFF"/>
        </w:rPr>
        <w:t xml:space="preserve">We kindly request that </w:t>
      </w:r>
      <w:r w:rsidR="00441AE7">
        <w:rPr>
          <w:rStyle w:val="Strong"/>
          <w:rFonts w:ascii="Arial" w:hAnsi="Arial" w:cs="Arial"/>
          <w:b w:val="0"/>
          <w:color w:val="24292E"/>
          <w:sz w:val="24"/>
          <w:szCs w:val="24"/>
          <w:shd w:val="clear" w:color="auto" w:fill="FFFFFF"/>
        </w:rPr>
        <w:t>ICEES users pr</w:t>
      </w:r>
      <w:r w:rsidRPr="00897989">
        <w:rPr>
          <w:rStyle w:val="Strong"/>
          <w:rFonts w:ascii="Arial" w:hAnsi="Arial" w:cs="Arial"/>
          <w:b w:val="0"/>
          <w:color w:val="24292E"/>
          <w:sz w:val="24"/>
          <w:szCs w:val="24"/>
          <w:shd w:val="clear" w:color="auto" w:fill="FFFFFF"/>
        </w:rPr>
        <w:t xml:space="preserve">ovide proper attribution for any products (e.g., manuscripts, podium presentations, software) derived from work related to </w:t>
      </w:r>
      <w:r w:rsidR="00441AE7">
        <w:rPr>
          <w:rStyle w:val="Strong"/>
          <w:rFonts w:ascii="Arial" w:hAnsi="Arial" w:cs="Arial"/>
          <w:b w:val="0"/>
          <w:color w:val="24292E"/>
          <w:sz w:val="24"/>
          <w:szCs w:val="24"/>
          <w:shd w:val="clear" w:color="auto" w:fill="FFFFFF"/>
        </w:rPr>
        <w:t>ICEES</w:t>
      </w:r>
      <w:r w:rsidRPr="00897989">
        <w:rPr>
          <w:rStyle w:val="Strong"/>
          <w:rFonts w:ascii="Arial" w:hAnsi="Arial" w:cs="Arial"/>
          <w:b w:val="0"/>
          <w:color w:val="24292E"/>
          <w:sz w:val="24"/>
          <w:szCs w:val="24"/>
          <w:shd w:val="clear" w:color="auto" w:fill="FFFFFF"/>
        </w:rPr>
        <w:t>. Attribution should include acknowledgement of the funder (National Center for Advancing Translational Sciences [NCATS], Biomedical Data Translator Program award</w:t>
      </w:r>
      <w:r>
        <w:rPr>
          <w:rStyle w:val="Strong"/>
          <w:rFonts w:ascii="Arial" w:hAnsi="Arial" w:cs="Arial"/>
          <w:b w:val="0"/>
          <w:color w:val="24292E"/>
          <w:sz w:val="24"/>
          <w:szCs w:val="24"/>
          <w:shd w:val="clear" w:color="auto" w:fill="FFFFFF"/>
        </w:rPr>
        <w:t>s</w:t>
      </w:r>
      <w:r w:rsidRPr="00897989">
        <w:rPr>
          <w:rStyle w:val="Strong"/>
          <w:rFonts w:ascii="Arial" w:hAnsi="Arial" w:cs="Arial"/>
          <w:b w:val="0"/>
          <w:color w:val="24292E"/>
          <w:sz w:val="24"/>
          <w:szCs w:val="24"/>
          <w:shd w:val="clear" w:color="auto" w:fill="FFFFFF"/>
        </w:rPr>
        <w:t xml:space="preserve">, OT3TR002020 and OT2TR002514), the North Carolina Translational and Clinical Sciences (NC </w:t>
      </w:r>
      <w:proofErr w:type="spellStart"/>
      <w:r w:rsidRPr="00897989">
        <w:rPr>
          <w:rStyle w:val="Strong"/>
          <w:rFonts w:ascii="Arial" w:hAnsi="Arial" w:cs="Arial"/>
          <w:b w:val="0"/>
          <w:color w:val="24292E"/>
          <w:sz w:val="24"/>
          <w:szCs w:val="24"/>
          <w:shd w:val="clear" w:color="auto" w:fill="FFFFFF"/>
        </w:rPr>
        <w:t>TraCS</w:t>
      </w:r>
      <w:proofErr w:type="spellEnd"/>
      <w:r w:rsidRPr="00897989">
        <w:rPr>
          <w:rStyle w:val="Strong"/>
          <w:rFonts w:ascii="Arial" w:hAnsi="Arial" w:cs="Arial"/>
          <w:b w:val="0"/>
          <w:color w:val="24292E"/>
          <w:sz w:val="24"/>
          <w:szCs w:val="24"/>
          <w:shd w:val="clear" w:color="auto" w:fill="FFFFFF"/>
        </w:rPr>
        <w:t>) Institute (NCATS</w:t>
      </w:r>
      <w:r w:rsidR="00365144">
        <w:rPr>
          <w:rStyle w:val="Strong"/>
          <w:rFonts w:ascii="Arial" w:hAnsi="Arial" w:cs="Arial"/>
          <w:b w:val="0"/>
          <w:color w:val="24292E"/>
          <w:sz w:val="24"/>
          <w:szCs w:val="24"/>
          <w:shd w:val="clear" w:color="auto" w:fill="FFFFFF"/>
        </w:rPr>
        <w:t>,</w:t>
      </w:r>
      <w:r w:rsidRPr="00897989">
        <w:rPr>
          <w:rStyle w:val="Strong"/>
          <w:rFonts w:ascii="Arial" w:hAnsi="Arial" w:cs="Arial"/>
          <w:b w:val="0"/>
          <w:color w:val="24292E"/>
          <w:sz w:val="24"/>
          <w:szCs w:val="24"/>
          <w:shd w:val="clear" w:color="auto" w:fill="FFFFFF"/>
        </w:rPr>
        <w:t xml:space="preserve"> Center for Translational Science Award, UL1TR002489), UNC Hospitals and Health Care System, and all Green Team members who contributed to the work.</w:t>
      </w:r>
      <w:r w:rsidR="00300758" w:rsidRPr="00CA7AEE">
        <w:rPr>
          <w:rFonts w:ascii="Arial" w:eastAsia="Times New Roman" w:hAnsi="Arial" w:cs="Arial"/>
          <w:b/>
          <w:i/>
          <w:iCs/>
          <w:color w:val="24292E"/>
          <w:sz w:val="24"/>
          <w:szCs w:val="24"/>
        </w:rPr>
        <w:br w:type="page"/>
      </w:r>
    </w:p>
    <w:p w:rsidR="00F43A25" w:rsidRDefault="00300758" w:rsidP="00F43A2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Arial" w:eastAsia="Times New Roman" w:hAnsi="Arial" w:cs="Arial"/>
          <w:color w:val="24292E"/>
          <w:sz w:val="24"/>
          <w:szCs w:val="24"/>
        </w:rPr>
      </w:pPr>
      <w:r>
        <w:rPr>
          <w:rFonts w:ascii="Arial" w:eastAsia="Times New Roman" w:hAnsi="Arial" w:cs="Arial"/>
          <w:b/>
          <w:color w:val="24292E"/>
          <w:sz w:val="24"/>
          <w:szCs w:val="24"/>
        </w:rPr>
        <w:lastRenderedPageBreak/>
        <w:t xml:space="preserve">Appendix A. </w:t>
      </w:r>
      <w:r>
        <w:rPr>
          <w:rFonts w:ascii="Arial" w:eastAsia="Times New Roman" w:hAnsi="Arial" w:cs="Arial"/>
          <w:color w:val="24292E"/>
          <w:sz w:val="24"/>
          <w:szCs w:val="24"/>
        </w:rPr>
        <w:t xml:space="preserve">A high-level overview of the ICEES </w:t>
      </w:r>
      <w:r w:rsidR="00421033">
        <w:rPr>
          <w:rFonts w:ascii="Arial" w:eastAsia="Times New Roman" w:hAnsi="Arial" w:cs="Arial"/>
          <w:color w:val="24292E"/>
          <w:sz w:val="24"/>
          <w:szCs w:val="24"/>
        </w:rPr>
        <w:t>integration</w:t>
      </w:r>
      <w:r>
        <w:rPr>
          <w:rFonts w:ascii="Arial" w:eastAsia="Times New Roman" w:hAnsi="Arial" w:cs="Arial"/>
          <w:color w:val="24292E"/>
          <w:sz w:val="24"/>
          <w:szCs w:val="24"/>
        </w:rPr>
        <w:t xml:space="preserve"> pipeline and its relationship to </w:t>
      </w:r>
      <w:r w:rsidR="00441AE7">
        <w:rPr>
          <w:rFonts w:ascii="Arial" w:eastAsia="Times New Roman" w:hAnsi="Arial" w:cs="Arial"/>
          <w:color w:val="24292E"/>
          <w:sz w:val="24"/>
          <w:szCs w:val="24"/>
        </w:rPr>
        <w:t xml:space="preserve">common clinical data models (i.e., </w:t>
      </w:r>
      <w:r>
        <w:rPr>
          <w:rFonts w:ascii="Arial" w:eastAsia="Times New Roman" w:hAnsi="Arial" w:cs="Arial"/>
          <w:color w:val="24292E"/>
          <w:sz w:val="24"/>
          <w:szCs w:val="24"/>
        </w:rPr>
        <w:t>i2b2, PCORNET, and OMOP).</w:t>
      </w:r>
    </w:p>
    <w:p w:rsidR="00300758" w:rsidRDefault="00300758" w:rsidP="00D33513">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noProof/>
          <w:color w:val="24292E"/>
          <w:sz w:val="24"/>
          <w:szCs w:val="24"/>
        </w:rPr>
        <w:drawing>
          <wp:inline distT="0" distB="0" distL="0" distR="0">
            <wp:extent cx="5848350" cy="452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latorGraphic_ICEES_Pipel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9304" cy="4529067"/>
                    </a:xfrm>
                    <a:prstGeom prst="rect">
                      <a:avLst/>
                    </a:prstGeom>
                  </pic:spPr>
                </pic:pic>
              </a:graphicData>
            </a:graphic>
          </wp:inline>
        </w:drawing>
      </w:r>
    </w:p>
    <w:p w:rsidR="00F43A25" w:rsidRDefault="00F43A25" w:rsidP="00F43A25">
      <w:pPr>
        <w:pBdr>
          <w:top w:val="none" w:sz="0" w:space="0" w:color="000000"/>
          <w:left w:val="none" w:sz="0" w:space="0" w:color="000000"/>
          <w:bottom w:val="none" w:sz="0" w:space="0" w:color="000000"/>
          <w:right w:val="none" w:sz="0" w:space="0" w:color="000000"/>
          <w:between w:val="none" w:sz="0" w:space="0" w:color="000000"/>
        </w:pBdr>
        <w:spacing w:line="240" w:lineRule="auto"/>
        <w:ind w:left="5040" w:firstLine="720"/>
        <w:rPr>
          <w:rFonts w:ascii="Arial" w:eastAsia="Times New Roman" w:hAnsi="Arial" w:cs="Arial"/>
          <w:i/>
          <w:color w:val="24292E"/>
          <w:sz w:val="20"/>
          <w:szCs w:val="20"/>
        </w:rPr>
      </w:pPr>
      <w:r w:rsidRPr="00F43A25">
        <w:rPr>
          <w:rFonts w:ascii="Arial" w:eastAsia="Times New Roman" w:hAnsi="Arial" w:cs="Arial"/>
          <w:i/>
          <w:color w:val="24292E"/>
          <w:sz w:val="20"/>
          <w:szCs w:val="20"/>
        </w:rPr>
        <w:t xml:space="preserve">Graphic was designed by Kelsey </w:t>
      </w:r>
      <w:proofErr w:type="spellStart"/>
      <w:r w:rsidRPr="00F43A25">
        <w:rPr>
          <w:rFonts w:ascii="Arial" w:eastAsia="Times New Roman" w:hAnsi="Arial" w:cs="Arial"/>
          <w:i/>
          <w:color w:val="24292E"/>
          <w:sz w:val="20"/>
          <w:szCs w:val="20"/>
        </w:rPr>
        <w:t>Urgo.</w:t>
      </w:r>
      <w:proofErr w:type="spellEnd"/>
    </w:p>
    <w:p w:rsidR="00F43A25" w:rsidRDefault="00F43A25" w:rsidP="00F43A2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Calibri" w:hAnsi="Calibri" w:cs="Calibri"/>
          <w:color w:val="000000"/>
          <w:sz w:val="24"/>
          <w:szCs w:val="24"/>
        </w:rPr>
      </w:pPr>
      <w:r w:rsidRPr="0079357B">
        <w:rPr>
          <w:rFonts w:ascii="Arial" w:eastAsia="Times New Roman" w:hAnsi="Arial" w:cs="Arial"/>
          <w:color w:val="24292E"/>
          <w:sz w:val="24"/>
          <w:szCs w:val="24"/>
        </w:rPr>
        <w:t>W</w:t>
      </w:r>
      <w:r w:rsidRPr="0079357B">
        <w:rPr>
          <w:rFonts w:ascii="Arial" w:eastAsia="Calibri" w:hAnsi="Arial" w:cs="Arial"/>
          <w:color w:val="000000"/>
          <w:sz w:val="24"/>
          <w:szCs w:val="24"/>
        </w:rPr>
        <w:t>e recently developed an extensible clinical data conversion pipeline that invokes a custom software application, CAMP FHIR (</w:t>
      </w:r>
      <w:r w:rsidRPr="0079357B">
        <w:rPr>
          <w:rFonts w:ascii="Arial" w:eastAsia="Calibri" w:hAnsi="Arial" w:cs="Arial"/>
          <w:color w:val="000000"/>
          <w:sz w:val="24"/>
          <w:szCs w:val="24"/>
          <w:u w:val="single"/>
        </w:rPr>
        <w:t>C</w:t>
      </w:r>
      <w:r w:rsidRPr="0079357B">
        <w:rPr>
          <w:rFonts w:ascii="Arial" w:eastAsia="Calibri" w:hAnsi="Arial" w:cs="Arial"/>
          <w:color w:val="000000"/>
          <w:sz w:val="24"/>
          <w:szCs w:val="24"/>
        </w:rPr>
        <w:t xml:space="preserve">linical </w:t>
      </w:r>
      <w:r w:rsidRPr="0079357B">
        <w:rPr>
          <w:rFonts w:ascii="Arial" w:eastAsia="Calibri" w:hAnsi="Arial" w:cs="Arial"/>
          <w:color w:val="000000"/>
          <w:sz w:val="24"/>
          <w:szCs w:val="24"/>
          <w:u w:val="single"/>
        </w:rPr>
        <w:t>A</w:t>
      </w:r>
      <w:r w:rsidRPr="0079357B">
        <w:rPr>
          <w:rFonts w:ascii="Arial" w:eastAsia="Calibri" w:hAnsi="Arial" w:cs="Arial"/>
          <w:color w:val="000000"/>
          <w:sz w:val="24"/>
          <w:szCs w:val="24"/>
        </w:rPr>
        <w:t xml:space="preserve">sset </w:t>
      </w:r>
      <w:r w:rsidRPr="0079357B">
        <w:rPr>
          <w:rFonts w:ascii="Arial" w:eastAsia="Calibri" w:hAnsi="Arial" w:cs="Arial"/>
          <w:color w:val="000000"/>
          <w:sz w:val="24"/>
          <w:szCs w:val="24"/>
          <w:u w:val="single"/>
        </w:rPr>
        <w:t>M</w:t>
      </w:r>
      <w:r w:rsidRPr="0079357B">
        <w:rPr>
          <w:rFonts w:ascii="Arial" w:eastAsia="Calibri" w:hAnsi="Arial" w:cs="Arial"/>
          <w:color w:val="000000"/>
          <w:sz w:val="24"/>
          <w:szCs w:val="24"/>
        </w:rPr>
        <w:t xml:space="preserve">apping </w:t>
      </w:r>
      <w:r w:rsidRPr="0079357B">
        <w:rPr>
          <w:rFonts w:ascii="Arial" w:eastAsia="Calibri" w:hAnsi="Arial" w:cs="Arial"/>
          <w:color w:val="000000"/>
          <w:sz w:val="24"/>
          <w:szCs w:val="24"/>
          <w:u w:val="single"/>
        </w:rPr>
        <w:t>P</w:t>
      </w:r>
      <w:r w:rsidRPr="0079357B">
        <w:rPr>
          <w:rFonts w:ascii="Arial" w:eastAsia="Calibri" w:hAnsi="Arial" w:cs="Arial"/>
          <w:color w:val="000000"/>
          <w:sz w:val="24"/>
          <w:szCs w:val="24"/>
        </w:rPr>
        <w:t xml:space="preserve">rogram for </w:t>
      </w:r>
      <w:r w:rsidRPr="0079357B">
        <w:rPr>
          <w:rFonts w:ascii="Arial" w:eastAsia="Calibri" w:hAnsi="Arial" w:cs="Arial"/>
          <w:color w:val="000000"/>
          <w:sz w:val="24"/>
          <w:szCs w:val="24"/>
          <w:u w:val="single"/>
        </w:rPr>
        <w:t>F</w:t>
      </w:r>
      <w:r w:rsidRPr="0079357B">
        <w:rPr>
          <w:rFonts w:ascii="Arial" w:eastAsia="Calibri" w:hAnsi="Arial" w:cs="Arial"/>
          <w:color w:val="000000"/>
          <w:sz w:val="24"/>
          <w:szCs w:val="24"/>
        </w:rPr>
        <w:t xml:space="preserve">HIR), to transform clinical data from common data models (e.g., i2b2, </w:t>
      </w:r>
      <w:proofErr w:type="spellStart"/>
      <w:r w:rsidRPr="0079357B">
        <w:rPr>
          <w:rFonts w:ascii="Arial" w:eastAsia="Calibri" w:hAnsi="Arial" w:cs="Arial"/>
          <w:color w:val="000000"/>
          <w:sz w:val="24"/>
          <w:szCs w:val="24"/>
        </w:rPr>
        <w:t>PCORnet</w:t>
      </w:r>
      <w:proofErr w:type="spellEnd"/>
      <w:r w:rsidRPr="0079357B">
        <w:rPr>
          <w:rFonts w:ascii="Arial" w:eastAsia="Calibri" w:hAnsi="Arial" w:cs="Arial"/>
          <w:color w:val="000000"/>
          <w:sz w:val="24"/>
          <w:szCs w:val="24"/>
        </w:rPr>
        <w:t>, OMOP) into HL7 Fast Healthcare Interoperability Resource (FHIR) files.</w:t>
      </w:r>
      <w:r w:rsidRPr="0079357B">
        <w:rPr>
          <w:rStyle w:val="FootnoteReference"/>
          <w:rFonts w:ascii="Arial" w:eastAsia="Calibri" w:hAnsi="Arial" w:cs="Arial"/>
          <w:color w:val="000000"/>
          <w:sz w:val="24"/>
          <w:szCs w:val="24"/>
        </w:rPr>
        <w:footnoteReference w:id="2"/>
      </w:r>
      <w:r w:rsidRPr="0079357B">
        <w:rPr>
          <w:rFonts w:ascii="Arial" w:eastAsia="Calibri" w:hAnsi="Arial" w:cs="Arial"/>
          <w:color w:val="000000"/>
          <w:sz w:val="24"/>
          <w:szCs w:val="24"/>
        </w:rPr>
        <w:t xml:space="preserve"> A subsequent custom software application, FHIR PIT (</w:t>
      </w:r>
      <w:r w:rsidRPr="0079357B">
        <w:rPr>
          <w:rFonts w:ascii="Arial" w:eastAsia="Calibri" w:hAnsi="Arial" w:cs="Arial"/>
          <w:color w:val="000000"/>
          <w:sz w:val="24"/>
          <w:szCs w:val="24"/>
          <w:u w:val="single"/>
        </w:rPr>
        <w:t>P</w:t>
      </w:r>
      <w:r w:rsidRPr="0079357B">
        <w:rPr>
          <w:rFonts w:ascii="Arial" w:eastAsia="Calibri" w:hAnsi="Arial" w:cs="Arial"/>
          <w:color w:val="000000"/>
          <w:sz w:val="24"/>
          <w:szCs w:val="24"/>
        </w:rPr>
        <w:t xml:space="preserve">atient data </w:t>
      </w:r>
      <w:r w:rsidRPr="0079357B">
        <w:rPr>
          <w:rFonts w:ascii="Arial" w:eastAsia="Calibri" w:hAnsi="Arial" w:cs="Arial"/>
          <w:color w:val="000000"/>
          <w:sz w:val="24"/>
          <w:szCs w:val="24"/>
          <w:u w:val="single"/>
        </w:rPr>
        <w:t>I</w:t>
      </w:r>
      <w:r w:rsidRPr="0079357B">
        <w:rPr>
          <w:rFonts w:ascii="Arial" w:eastAsia="Calibri" w:hAnsi="Arial" w:cs="Arial"/>
          <w:color w:val="000000"/>
          <w:sz w:val="24"/>
          <w:szCs w:val="24"/>
        </w:rPr>
        <w:t xml:space="preserve">ntegration </w:t>
      </w:r>
      <w:r w:rsidRPr="0079357B">
        <w:rPr>
          <w:rFonts w:ascii="Arial" w:eastAsia="Calibri" w:hAnsi="Arial" w:cs="Arial"/>
          <w:color w:val="000000"/>
          <w:sz w:val="24"/>
          <w:szCs w:val="24"/>
          <w:u w:val="single"/>
        </w:rPr>
        <w:t>T</w:t>
      </w:r>
      <w:r w:rsidRPr="0079357B">
        <w:rPr>
          <w:rFonts w:ascii="Arial" w:eastAsia="Calibri" w:hAnsi="Arial" w:cs="Arial"/>
          <w:color w:val="000000"/>
          <w:sz w:val="24"/>
          <w:szCs w:val="24"/>
        </w:rPr>
        <w:t xml:space="preserve">ool), then integrates the clinical data with environmental exposures data from multiple sources before stripping the data of PHI and binning feature variables to create ICEES tables. Of note, FHIR PIT is modular and extensible and can be adapted for virtually any type of data that is of interest to clinical researchers and requires geocodes, dates, and identifiers for integration with EHR data. We expect CAMP FHIR and FHIR PIT to greatly improve the scalability of ICEES and automate the creation of integrated feature tables. CAMP FHIR </w:t>
      </w:r>
      <w:r w:rsidRPr="0079357B">
        <w:rPr>
          <w:rFonts w:ascii="Arial" w:eastAsia="Calibri" w:hAnsi="Arial" w:cs="Arial"/>
          <w:color w:val="000000"/>
          <w:sz w:val="24"/>
          <w:szCs w:val="24"/>
        </w:rPr>
        <w:lastRenderedPageBreak/>
        <w:t>and</w:t>
      </w:r>
      <w:r>
        <w:rPr>
          <w:rFonts w:ascii="Calibri" w:eastAsia="Calibri" w:hAnsi="Calibri" w:cs="Calibri"/>
          <w:color w:val="000000"/>
          <w:sz w:val="24"/>
          <w:szCs w:val="24"/>
        </w:rPr>
        <w:t xml:space="preserve"> FHIR PIT are currently undergoing unit testing and will be released under an open GitHub license.</w:t>
      </w:r>
    </w:p>
    <w:p w:rsidR="00F43A25" w:rsidRDefault="00F43A25" w:rsidP="00F43A25">
      <w:pPr>
        <w:shd w:val="clear" w:color="auto" w:fill="FFFFFF"/>
        <w:spacing w:after="240" w:line="240" w:lineRule="auto"/>
        <w:rPr>
          <w:rFonts w:ascii="Arial" w:eastAsia="Times New Roman" w:hAnsi="Arial" w:cs="Arial"/>
          <w:color w:val="24292E"/>
          <w:sz w:val="24"/>
          <w:szCs w:val="24"/>
        </w:rPr>
      </w:pPr>
    </w:p>
    <w:p w:rsidR="00300758" w:rsidRPr="00F43A25" w:rsidRDefault="00300758" w:rsidP="00D33513">
      <w:pPr>
        <w:shd w:val="clear" w:color="auto" w:fill="FFFFFF"/>
        <w:spacing w:after="240" w:line="240" w:lineRule="auto"/>
        <w:rPr>
          <w:rFonts w:ascii="Arial" w:eastAsia="Times New Roman" w:hAnsi="Arial" w:cs="Arial"/>
          <w:i/>
          <w:color w:val="24292E"/>
          <w:sz w:val="20"/>
          <w:szCs w:val="20"/>
        </w:rPr>
      </w:pPr>
    </w:p>
    <w:sectPr w:rsidR="00300758" w:rsidRPr="00F43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061" w:rsidRDefault="000D1061" w:rsidP="00B11FA5">
      <w:pPr>
        <w:spacing w:after="0" w:line="240" w:lineRule="auto"/>
      </w:pPr>
      <w:r>
        <w:separator/>
      </w:r>
    </w:p>
  </w:endnote>
  <w:endnote w:type="continuationSeparator" w:id="0">
    <w:p w:rsidR="000D1061" w:rsidRDefault="000D1061" w:rsidP="00B1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061" w:rsidRDefault="000D1061" w:rsidP="00B11FA5">
      <w:pPr>
        <w:spacing w:after="0" w:line="240" w:lineRule="auto"/>
      </w:pPr>
      <w:r>
        <w:separator/>
      </w:r>
    </w:p>
  </w:footnote>
  <w:footnote w:type="continuationSeparator" w:id="0">
    <w:p w:rsidR="000D1061" w:rsidRDefault="000D1061" w:rsidP="00B11FA5">
      <w:pPr>
        <w:spacing w:after="0" w:line="240" w:lineRule="auto"/>
      </w:pPr>
      <w:r>
        <w:continuationSeparator/>
      </w:r>
    </w:p>
  </w:footnote>
  <w:footnote w:id="1">
    <w:p w:rsidR="00B11FA5" w:rsidRPr="00B11FA5" w:rsidRDefault="00B11FA5" w:rsidP="00B11FA5">
      <w:pPr>
        <w:pStyle w:val="NormalWeb"/>
        <w:shd w:val="clear" w:color="auto" w:fill="FFFFFF"/>
        <w:spacing w:before="0" w:beforeAutospacing="0" w:after="240" w:afterAutospacing="0"/>
        <w:rPr>
          <w:rFonts w:ascii="Arial" w:hAnsi="Arial" w:cs="Arial"/>
          <w:color w:val="24292E"/>
          <w:sz w:val="20"/>
          <w:szCs w:val="20"/>
        </w:rPr>
      </w:pPr>
      <w:r w:rsidRPr="00B11FA5">
        <w:rPr>
          <w:rStyle w:val="FootnoteReference"/>
          <w:rFonts w:ascii="Arial" w:hAnsi="Arial" w:cs="Arial"/>
          <w:sz w:val="20"/>
          <w:szCs w:val="20"/>
        </w:rPr>
        <w:footnoteRef/>
      </w:r>
      <w:r w:rsidRPr="00B11FA5">
        <w:rPr>
          <w:rFonts w:ascii="Arial" w:hAnsi="Arial" w:cs="Arial"/>
          <w:color w:val="24292E"/>
          <w:sz w:val="20"/>
          <w:szCs w:val="20"/>
        </w:rPr>
        <w:t>The following codes and parameters were used to identify patients with an ‘asthma-like’ phenotype:</w:t>
      </w:r>
    </w:p>
    <w:p w:rsidR="00B11FA5" w:rsidRPr="00B11FA5" w:rsidRDefault="00B11FA5" w:rsidP="00B11FA5">
      <w:pPr>
        <w:pStyle w:val="NormalWeb"/>
        <w:shd w:val="clear" w:color="auto" w:fill="FFFFFF"/>
        <w:spacing w:before="0" w:beforeAutospacing="0" w:after="240" w:afterAutospacing="0"/>
        <w:rPr>
          <w:rFonts w:ascii="Arial" w:hAnsi="Arial" w:cs="Arial"/>
          <w:color w:val="24292E"/>
          <w:sz w:val="20"/>
          <w:szCs w:val="20"/>
        </w:rPr>
      </w:pPr>
      <w:r w:rsidRPr="00B11FA5">
        <w:rPr>
          <w:rStyle w:val="Strong"/>
          <w:rFonts w:ascii="Arial" w:hAnsi="Arial" w:cs="Arial"/>
          <w:color w:val="24292E"/>
          <w:sz w:val="20"/>
          <w:szCs w:val="20"/>
        </w:rPr>
        <w:t>Diagnostic codes for asthma and asthma-like conditions</w:t>
      </w:r>
      <w:r w:rsidRPr="00B11FA5">
        <w:rPr>
          <w:rFonts w:ascii="Arial" w:hAnsi="Arial" w:cs="Arial"/>
          <w:color w:val="24292E"/>
          <w:sz w:val="20"/>
          <w:szCs w:val="20"/>
        </w:rPr>
        <w:t> ICD9 493.% asthma ICD10 J45.% asthma ICD9 464.% croup ICD10 J05.% croup ICD9 496.% reactive airway ICD10 J44.% reactive airway ICD10 J66.% reactive airway ICD9 786.% cough ICD10 R05.% cough ICD9 481.% pneumonia ICD9 482.% pneumonia ICD9 483.% pneumonia ICD9 484.% pneumonia ICD9 485.% pneumonia ICD9 486.% pneumonia ICD10 J12.% pneumonia ICD10 J13.% pneumonia ICD10 J14.% pneumonia ICD10 J15.% pneumonia ICD10 J16.% pneumonia ICD10 J17.% pneumonia ICD10 J18.% pneumonia</w:t>
      </w:r>
    </w:p>
    <w:p w:rsidR="00B11FA5" w:rsidRPr="00B11FA5" w:rsidRDefault="00B11FA5" w:rsidP="00B11FA5">
      <w:pPr>
        <w:pStyle w:val="NormalWeb"/>
        <w:shd w:val="clear" w:color="auto" w:fill="FFFFFF"/>
        <w:spacing w:before="0" w:beforeAutospacing="0" w:after="240" w:afterAutospacing="0"/>
        <w:rPr>
          <w:rFonts w:ascii="Arial" w:hAnsi="Arial" w:cs="Arial"/>
          <w:color w:val="24292E"/>
          <w:sz w:val="20"/>
          <w:szCs w:val="20"/>
        </w:rPr>
      </w:pPr>
      <w:r w:rsidRPr="00B11FA5">
        <w:rPr>
          <w:rStyle w:val="Strong"/>
          <w:rFonts w:ascii="Arial" w:hAnsi="Arial" w:cs="Arial"/>
          <w:color w:val="24292E"/>
          <w:sz w:val="20"/>
          <w:szCs w:val="20"/>
        </w:rPr>
        <w:t>Tests and procedures for asthma and asthma-like conditions</w:t>
      </w:r>
      <w:r w:rsidRPr="00B11FA5">
        <w:rPr>
          <w:rFonts w:ascii="Arial" w:hAnsi="Arial" w:cs="Arial"/>
          <w:color w:val="24292E"/>
          <w:sz w:val="20"/>
          <w:szCs w:val="20"/>
        </w:rPr>
        <w:t> CPT 94010 spirometry CPT 94070 multiple spirometry CPT 95070 methacholine challenge test CPT 94620 simple exercise stress test CPT 94621 complex exercise stress test CPT 31624 bronchoscopy CPT 94375 flow-volume loop CPT 94060 spirometry (pre/post bronchodilator test) CPT 94070 bronchospasm provocation CPT 95070 inhalation bronchial challenge CPT 94664 bronchodilator administration CPT 94620 pulmonary stress test CPT 95027 airborne allergen panel</w:t>
      </w:r>
    </w:p>
    <w:p w:rsidR="00B11FA5" w:rsidRPr="00B11FA5" w:rsidRDefault="00B11FA5" w:rsidP="00B11FA5">
      <w:pPr>
        <w:pStyle w:val="NormalWeb"/>
        <w:shd w:val="clear" w:color="auto" w:fill="FFFFFF"/>
        <w:spacing w:before="0" w:beforeAutospacing="0"/>
        <w:rPr>
          <w:rFonts w:ascii="Arial" w:hAnsi="Arial" w:cs="Arial"/>
          <w:color w:val="24292E"/>
          <w:sz w:val="20"/>
          <w:szCs w:val="20"/>
        </w:rPr>
      </w:pPr>
      <w:r w:rsidRPr="00B11FA5">
        <w:rPr>
          <w:rStyle w:val="Strong"/>
          <w:rFonts w:ascii="Arial" w:hAnsi="Arial" w:cs="Arial"/>
          <w:color w:val="24292E"/>
          <w:sz w:val="20"/>
          <w:szCs w:val="20"/>
        </w:rPr>
        <w:t>Medications prescribed for patients with asthma-like phenotype</w:t>
      </w:r>
      <w:r w:rsidRPr="00B11FA5">
        <w:rPr>
          <w:rFonts w:ascii="Arial" w:hAnsi="Arial" w:cs="Arial"/>
          <w:color w:val="24292E"/>
          <w:sz w:val="20"/>
          <w:szCs w:val="20"/>
        </w:rPr>
        <w:t> MEDCTN prednisone MEDCTN fluticasone MEDCTN mometasone MEDCTN budesonide MEDCTN beclomethasone MEDCTN ciclesonide MEDCTN flunisolide MEDCTN albuterol MEDCTN metaproterenol MEDCTN diphenydramine MEDCTN fexofenadine MEDCTN cetirizine MEDCTN ipratropium MEDCTN salmeterol MEDCTN arformoterol MEDCTN formoterol MEDCTN indacaterol MEDCTN theophylline MEDCTN omalizumab MEDCTN mepolizumab</w:t>
      </w:r>
    </w:p>
    <w:p w:rsidR="00B11FA5" w:rsidRDefault="00B11FA5">
      <w:pPr>
        <w:pStyle w:val="FootnoteText"/>
      </w:pPr>
      <w:r w:rsidRPr="00B11FA5">
        <w:rPr>
          <w:rFonts w:ascii="Arial" w:hAnsi="Arial" w:cs="Arial"/>
        </w:rPr>
        <w:t xml:space="preserve"> </w:t>
      </w:r>
    </w:p>
  </w:footnote>
  <w:footnote w:id="2">
    <w:p w:rsidR="00F43A25" w:rsidRPr="0079357B" w:rsidRDefault="00F43A25" w:rsidP="00F43A25">
      <w:pPr>
        <w:pStyle w:val="FootnoteText"/>
        <w:rPr>
          <w:rFonts w:ascii="Arial" w:hAnsi="Arial" w:cs="Arial"/>
        </w:rPr>
      </w:pPr>
      <w:bookmarkStart w:id="0" w:name="_GoBack"/>
      <w:r w:rsidRPr="0079357B">
        <w:rPr>
          <w:rStyle w:val="FootnoteReference"/>
          <w:rFonts w:ascii="Arial" w:hAnsi="Arial" w:cs="Arial"/>
        </w:rPr>
        <w:footnoteRef/>
      </w:r>
      <w:r w:rsidRPr="0079357B">
        <w:rPr>
          <w:rFonts w:ascii="Arial" w:hAnsi="Arial" w:cs="Arial"/>
        </w:rPr>
        <w:t xml:space="preserve"> Pfaff ER, Champion J, Cox S, Xu H, </w:t>
      </w:r>
      <w:proofErr w:type="spellStart"/>
      <w:r w:rsidRPr="0079357B">
        <w:rPr>
          <w:rFonts w:ascii="Arial" w:hAnsi="Arial" w:cs="Arial"/>
        </w:rPr>
        <w:t>Fecho</w:t>
      </w:r>
      <w:proofErr w:type="spellEnd"/>
      <w:r w:rsidRPr="0079357B">
        <w:rPr>
          <w:rFonts w:ascii="Arial" w:hAnsi="Arial" w:cs="Arial"/>
        </w:rPr>
        <w:t xml:space="preserve"> K, Krishnamurthy A, Chute CG, </w:t>
      </w:r>
      <w:proofErr w:type="spellStart"/>
      <w:r w:rsidRPr="0079357B">
        <w:rPr>
          <w:rFonts w:ascii="Arial" w:hAnsi="Arial" w:cs="Arial"/>
        </w:rPr>
        <w:t>Overby</w:t>
      </w:r>
      <w:proofErr w:type="spellEnd"/>
      <w:r w:rsidRPr="0079357B">
        <w:rPr>
          <w:rFonts w:ascii="Arial" w:hAnsi="Arial" w:cs="Arial"/>
        </w:rPr>
        <w:t xml:space="preserve"> Taylor C, </w:t>
      </w:r>
      <w:proofErr w:type="spellStart"/>
      <w:r w:rsidRPr="0079357B">
        <w:rPr>
          <w:rFonts w:ascii="Arial" w:hAnsi="Arial" w:cs="Arial"/>
        </w:rPr>
        <w:t>Ahalt</w:t>
      </w:r>
      <w:proofErr w:type="spellEnd"/>
      <w:r w:rsidRPr="0079357B">
        <w:rPr>
          <w:rFonts w:ascii="Arial" w:hAnsi="Arial" w:cs="Arial"/>
        </w:rPr>
        <w:t xml:space="preserve"> S. All roads lead to FHIR: an extensible clinical data conversion pipeline. </w:t>
      </w:r>
      <w:r w:rsidRPr="0079357B">
        <w:rPr>
          <w:rFonts w:ascii="Arial" w:hAnsi="Arial" w:cs="Arial"/>
          <w:i/>
        </w:rPr>
        <w:t>AMIA Conference Paper</w:t>
      </w:r>
      <w:r w:rsidRPr="0079357B">
        <w:rPr>
          <w:rFonts w:ascii="Arial" w:hAnsi="Arial" w:cs="Arial"/>
        </w:rPr>
        <w:t>, accepted for publication (October 2018).</w:t>
      </w:r>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304FB"/>
    <w:multiLevelType w:val="hybridMultilevel"/>
    <w:tmpl w:val="70527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A3179"/>
    <w:multiLevelType w:val="hybridMultilevel"/>
    <w:tmpl w:val="2EB64B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687B"/>
    <w:multiLevelType w:val="hybridMultilevel"/>
    <w:tmpl w:val="59822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C6A92"/>
    <w:multiLevelType w:val="hybridMultilevel"/>
    <w:tmpl w:val="D29AE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330310"/>
    <w:multiLevelType w:val="hybridMultilevel"/>
    <w:tmpl w:val="7542DB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C4"/>
    <w:rsid w:val="000879D7"/>
    <w:rsid w:val="0009594C"/>
    <w:rsid w:val="000D1061"/>
    <w:rsid w:val="000E4965"/>
    <w:rsid w:val="00144327"/>
    <w:rsid w:val="0014608B"/>
    <w:rsid w:val="001B0045"/>
    <w:rsid w:val="001B46F3"/>
    <w:rsid w:val="002C3F19"/>
    <w:rsid w:val="002E2B62"/>
    <w:rsid w:val="00300758"/>
    <w:rsid w:val="00310808"/>
    <w:rsid w:val="00323439"/>
    <w:rsid w:val="00330F97"/>
    <w:rsid w:val="00365144"/>
    <w:rsid w:val="003F738E"/>
    <w:rsid w:val="004011E0"/>
    <w:rsid w:val="00421033"/>
    <w:rsid w:val="00440384"/>
    <w:rsid w:val="00441AE7"/>
    <w:rsid w:val="004464CD"/>
    <w:rsid w:val="00552E14"/>
    <w:rsid w:val="00560584"/>
    <w:rsid w:val="005C6EB7"/>
    <w:rsid w:val="005D565C"/>
    <w:rsid w:val="006154D3"/>
    <w:rsid w:val="00644318"/>
    <w:rsid w:val="006526D2"/>
    <w:rsid w:val="00676C8C"/>
    <w:rsid w:val="00696915"/>
    <w:rsid w:val="00734E70"/>
    <w:rsid w:val="007405A1"/>
    <w:rsid w:val="00775049"/>
    <w:rsid w:val="00787D61"/>
    <w:rsid w:val="0079357B"/>
    <w:rsid w:val="00794ADB"/>
    <w:rsid w:val="007B0984"/>
    <w:rsid w:val="007E5CD2"/>
    <w:rsid w:val="007F4B30"/>
    <w:rsid w:val="00897989"/>
    <w:rsid w:val="00906B27"/>
    <w:rsid w:val="00953CD8"/>
    <w:rsid w:val="0097780A"/>
    <w:rsid w:val="009A63EE"/>
    <w:rsid w:val="00A314EA"/>
    <w:rsid w:val="00A44B8E"/>
    <w:rsid w:val="00AB71C2"/>
    <w:rsid w:val="00AF5B56"/>
    <w:rsid w:val="00B11FA5"/>
    <w:rsid w:val="00B83B27"/>
    <w:rsid w:val="00BF032C"/>
    <w:rsid w:val="00C12D89"/>
    <w:rsid w:val="00C90BBB"/>
    <w:rsid w:val="00C93AE4"/>
    <w:rsid w:val="00CA7AEE"/>
    <w:rsid w:val="00CC7F8E"/>
    <w:rsid w:val="00CF1FC8"/>
    <w:rsid w:val="00CF4D9B"/>
    <w:rsid w:val="00D13F7F"/>
    <w:rsid w:val="00D33513"/>
    <w:rsid w:val="00D57E8B"/>
    <w:rsid w:val="00D832DB"/>
    <w:rsid w:val="00D83DE4"/>
    <w:rsid w:val="00DF574E"/>
    <w:rsid w:val="00DF723F"/>
    <w:rsid w:val="00E10484"/>
    <w:rsid w:val="00E1285E"/>
    <w:rsid w:val="00EE2EC4"/>
    <w:rsid w:val="00F10BF4"/>
    <w:rsid w:val="00F133A8"/>
    <w:rsid w:val="00F43A25"/>
    <w:rsid w:val="00F55A9A"/>
    <w:rsid w:val="00F71275"/>
    <w:rsid w:val="00FA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6FD47-B636-471F-A5B3-25798052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CD8"/>
    <w:pPr>
      <w:ind w:left="720"/>
      <w:contextualSpacing/>
    </w:pPr>
  </w:style>
  <w:style w:type="paragraph" w:styleId="FootnoteText">
    <w:name w:val="footnote text"/>
    <w:basedOn w:val="Normal"/>
    <w:link w:val="FootnoteTextChar"/>
    <w:uiPriority w:val="99"/>
    <w:semiHidden/>
    <w:unhideWhenUsed/>
    <w:rsid w:val="00B11F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FA5"/>
    <w:rPr>
      <w:sz w:val="20"/>
      <w:szCs w:val="20"/>
    </w:rPr>
  </w:style>
  <w:style w:type="character" w:styleId="FootnoteReference">
    <w:name w:val="footnote reference"/>
    <w:basedOn w:val="DefaultParagraphFont"/>
    <w:uiPriority w:val="99"/>
    <w:semiHidden/>
    <w:unhideWhenUsed/>
    <w:rsid w:val="00B11FA5"/>
    <w:rPr>
      <w:vertAlign w:val="superscript"/>
    </w:rPr>
  </w:style>
  <w:style w:type="paragraph" w:styleId="NormalWeb">
    <w:name w:val="Normal (Web)"/>
    <w:basedOn w:val="Normal"/>
    <w:uiPriority w:val="99"/>
    <w:semiHidden/>
    <w:unhideWhenUsed/>
    <w:rsid w:val="00B1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A5"/>
    <w:rPr>
      <w:b/>
      <w:bCs/>
    </w:rPr>
  </w:style>
  <w:style w:type="character" w:styleId="Hyperlink">
    <w:name w:val="Hyperlink"/>
    <w:basedOn w:val="DefaultParagraphFont"/>
    <w:uiPriority w:val="99"/>
    <w:unhideWhenUsed/>
    <w:rsid w:val="001B46F3"/>
    <w:rPr>
      <w:color w:val="0563C1" w:themeColor="hyperlink"/>
      <w:u w:val="single"/>
    </w:rPr>
  </w:style>
  <w:style w:type="character" w:styleId="FollowedHyperlink">
    <w:name w:val="FollowedHyperlink"/>
    <w:basedOn w:val="DefaultParagraphFont"/>
    <w:uiPriority w:val="99"/>
    <w:semiHidden/>
    <w:unhideWhenUsed/>
    <w:rsid w:val="007B0984"/>
    <w:rPr>
      <w:color w:val="954F72" w:themeColor="followedHyperlink"/>
      <w:u w:val="single"/>
    </w:rPr>
  </w:style>
  <w:style w:type="paragraph" w:styleId="HTMLPreformatted">
    <w:name w:val="HTML Preformatted"/>
    <w:basedOn w:val="Normal"/>
    <w:link w:val="HTMLPreformattedChar"/>
    <w:uiPriority w:val="99"/>
    <w:semiHidden/>
    <w:unhideWhenUsed/>
    <w:rsid w:val="004464C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64C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44460">
      <w:bodyDiv w:val="1"/>
      <w:marLeft w:val="0"/>
      <w:marRight w:val="0"/>
      <w:marTop w:val="0"/>
      <w:marBottom w:val="0"/>
      <w:divBdr>
        <w:top w:val="none" w:sz="0" w:space="0" w:color="auto"/>
        <w:left w:val="none" w:sz="0" w:space="0" w:color="auto"/>
        <w:bottom w:val="none" w:sz="0" w:space="0" w:color="auto"/>
        <w:right w:val="none" w:sz="0" w:space="0" w:color="auto"/>
      </w:divBdr>
    </w:div>
    <w:div w:id="831988744">
      <w:bodyDiv w:val="1"/>
      <w:marLeft w:val="0"/>
      <w:marRight w:val="0"/>
      <w:marTop w:val="0"/>
      <w:marBottom w:val="0"/>
      <w:divBdr>
        <w:top w:val="none" w:sz="0" w:space="0" w:color="auto"/>
        <w:left w:val="none" w:sz="0" w:space="0" w:color="auto"/>
        <w:bottom w:val="none" w:sz="0" w:space="0" w:color="auto"/>
        <w:right w:val="none" w:sz="0" w:space="0" w:color="auto"/>
      </w:divBdr>
    </w:div>
    <w:div w:id="981230763">
      <w:bodyDiv w:val="1"/>
      <w:marLeft w:val="0"/>
      <w:marRight w:val="0"/>
      <w:marTop w:val="0"/>
      <w:marBottom w:val="0"/>
      <w:divBdr>
        <w:top w:val="none" w:sz="0" w:space="0" w:color="auto"/>
        <w:left w:val="none" w:sz="0" w:space="0" w:color="auto"/>
        <w:bottom w:val="none" w:sz="0" w:space="0" w:color="auto"/>
        <w:right w:val="none" w:sz="0" w:space="0" w:color="auto"/>
      </w:divBdr>
    </w:div>
    <w:div w:id="1234782450">
      <w:bodyDiv w:val="1"/>
      <w:marLeft w:val="0"/>
      <w:marRight w:val="0"/>
      <w:marTop w:val="0"/>
      <w:marBottom w:val="0"/>
      <w:divBdr>
        <w:top w:val="none" w:sz="0" w:space="0" w:color="auto"/>
        <w:left w:val="none" w:sz="0" w:space="0" w:color="auto"/>
        <w:bottom w:val="none" w:sz="0" w:space="0" w:color="auto"/>
        <w:right w:val="none" w:sz="0" w:space="0" w:color="auto"/>
      </w:divBdr>
    </w:div>
    <w:div w:id="1581480444">
      <w:bodyDiv w:val="1"/>
      <w:marLeft w:val="0"/>
      <w:marRight w:val="0"/>
      <w:marTop w:val="0"/>
      <w:marBottom w:val="0"/>
      <w:divBdr>
        <w:top w:val="none" w:sz="0" w:space="0" w:color="auto"/>
        <w:left w:val="none" w:sz="0" w:space="0" w:color="auto"/>
        <w:bottom w:val="none" w:sz="0" w:space="0" w:color="auto"/>
        <w:right w:val="none" w:sz="0" w:space="0" w:color="auto"/>
      </w:divBdr>
    </w:div>
    <w:div w:id="18290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ats.nih.gov/translator" TargetMode="External"/><Relationship Id="rId13" Type="http://schemas.openxmlformats.org/officeDocument/2006/relationships/hyperlink" Target="https://icees.renci.org/apidoc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hs.gov/hipaa/for-professionals/privacy/special-topics/de-identific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tracs.unc.edu/index.php/who-we-are/conta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cpt.onlinelibrary.wiley.com/doi/10.1111/cts.1259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ascpt.onlinelibrary.wiley.com/doi/full/10.1111/cts.1259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ascpt.onlinelibrary.wiley.com/doi/10.1111/cts.1259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5EF33-2BC1-4CD2-8872-2D5518790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Karamarie Fecho</dc:creator>
  <cp:keywords/>
  <dc:description/>
  <cp:lastModifiedBy>karamarie</cp:lastModifiedBy>
  <cp:revision>5</cp:revision>
  <dcterms:created xsi:type="dcterms:W3CDTF">2019-01-16T15:06:00Z</dcterms:created>
  <dcterms:modified xsi:type="dcterms:W3CDTF">2019-01-16T16:04:00Z</dcterms:modified>
</cp:coreProperties>
</file>