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A1BA8" w14:textId="77777777" w:rsidR="00FD6A77" w:rsidRPr="00FD6A77" w:rsidRDefault="00FD6A77" w:rsidP="00FD6A77">
      <w:pPr>
        <w:spacing w:after="12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 w:val="20"/>
          <w:szCs w:val="20"/>
          <w:lang w:eastAsia="ru-RU"/>
        </w:rPr>
        <w:t>МИНИСТЕРСТВО ТРАНСПОРТА РОССИЙСКОЙ ФЕДЕРАЦИИ</w:t>
      </w:r>
    </w:p>
    <w:p w14:paraId="3833D173" w14:textId="77777777" w:rsidR="00FD6A77" w:rsidRPr="00FD6A77" w:rsidRDefault="00FD6A77" w:rsidP="00FD6A77">
      <w:pP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 w:val="20"/>
          <w:szCs w:val="20"/>
          <w:lang w:eastAsia="ru-RU"/>
        </w:rPr>
        <w:t>ФЕДЕРАЛЬНОЕ ГОСУДАРСТВЕННОЕ АВТОНОМНОЕ ОБРАЗОВАТЕЛЬНОЕ</w:t>
      </w:r>
    </w:p>
    <w:p w14:paraId="36F70551" w14:textId="77777777" w:rsidR="00FD6A77" w:rsidRPr="00FD6A77" w:rsidRDefault="00FD6A77" w:rsidP="00FD6A77">
      <w:pP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 w:val="20"/>
          <w:szCs w:val="20"/>
          <w:lang w:eastAsia="ru-RU"/>
        </w:rPr>
        <w:t>УЧРЕЖДЕНИЕ ВЫСШЕГО ОБРАЗОВАНИЯ</w:t>
      </w:r>
    </w:p>
    <w:p w14:paraId="3D93B46A" w14:textId="77777777" w:rsidR="00FD6A77" w:rsidRPr="00FD6A77" w:rsidRDefault="00FD6A77" w:rsidP="00FD6A77">
      <w:pP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Cs w:val="28"/>
          <w:lang w:eastAsia="ru-RU"/>
        </w:rPr>
        <w:t>«РОССИЙСКИЙ УНИВЕРСИТЕТ ТРАНСПОРТА»</w:t>
      </w:r>
    </w:p>
    <w:p w14:paraId="667D24FE" w14:textId="77777777" w:rsidR="00FD6A77" w:rsidRPr="00FD6A77" w:rsidRDefault="00FD6A77" w:rsidP="00FD6A77">
      <w:pPr>
        <w:pBdr>
          <w:bottom w:val="single" w:sz="12" w:space="1" w:color="000000"/>
        </w:pBd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Cs w:val="28"/>
          <w:lang w:eastAsia="ru-RU"/>
        </w:rPr>
        <w:t>(РУТ (МИИТ)</w:t>
      </w:r>
    </w:p>
    <w:p w14:paraId="6A00FFFC" w14:textId="77777777" w:rsidR="00FD6A77" w:rsidRPr="00FD6A77" w:rsidRDefault="00FD6A77" w:rsidP="00FD6A77">
      <w:pPr>
        <w:spacing w:after="0" w:line="240" w:lineRule="auto"/>
        <w:rPr>
          <w:rFonts w:cs="Times New Roman"/>
          <w:sz w:val="24"/>
          <w:szCs w:val="24"/>
          <w:lang w:eastAsia="ru-RU"/>
        </w:rPr>
      </w:pPr>
    </w:p>
    <w:p w14:paraId="43694CF9" w14:textId="77777777" w:rsidR="00FD6A77" w:rsidRPr="00FD6A77" w:rsidRDefault="00FD6A77" w:rsidP="00FD6A77">
      <w:pP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color w:val="000000"/>
          <w:sz w:val="24"/>
          <w:szCs w:val="24"/>
          <w:u w:val="single"/>
          <w:lang w:eastAsia="ru-RU"/>
        </w:rPr>
        <w:t>Высшая инженерная школа</w:t>
      </w:r>
    </w:p>
    <w:tbl>
      <w:tblPr>
        <w:tblpPr w:leftFromText="180" w:rightFromText="180" w:vertAnchor="text" w:horzAnchor="margin" w:tblpXSpec="right" w:tblpY="49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544"/>
      </w:tblGrid>
      <w:tr w:rsidR="00B45AC4" w:rsidRPr="00FD6A77" w14:paraId="760F94E8" w14:textId="77777777" w:rsidTr="00B45AC4">
        <w:trPr>
          <w:trHeight w:val="2254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4E61B0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067E32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>Допустить к защите:</w:t>
            </w:r>
          </w:p>
          <w:p w14:paraId="6D24154F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1C526D0A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>Руководитель образовательной программы</w:t>
            </w:r>
          </w:p>
          <w:p w14:paraId="212DDD7E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779701D6" w14:textId="77777777" w:rsidR="00B45AC4" w:rsidRPr="00FD6A77" w:rsidRDefault="00B45AC4" w:rsidP="00B45AC4">
            <w:pPr>
              <w:spacing w:after="0" w:line="240" w:lineRule="auto"/>
              <w:ind w:right="282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>_______________________</w:t>
            </w: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ab/>
              <w:t>____________</w:t>
            </w:r>
          </w:p>
          <w:p w14:paraId="772E717D" w14:textId="77777777" w:rsidR="00B45AC4" w:rsidRPr="00FD6A77" w:rsidRDefault="00B45AC4" w:rsidP="00B45AC4">
            <w:pPr>
              <w:spacing w:after="0" w:line="240" w:lineRule="auto"/>
              <w:ind w:right="282" w:firstLine="851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>(ФИО)</w:t>
            </w:r>
            <w:r w:rsidRPr="00FD6A77">
              <w:rPr>
                <w:rFonts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                  </w:t>
            </w:r>
            <w:r w:rsidRPr="00FD6A77">
              <w:rPr>
                <w:rFonts w:cs="Times New Roman"/>
                <w:b/>
                <w:bCs/>
                <w:color w:val="000000"/>
                <w:sz w:val="16"/>
                <w:szCs w:val="16"/>
                <w:lang w:eastAsia="ru-RU"/>
              </w:rPr>
              <w:t>       </w:t>
            </w:r>
            <w:r w:rsidRPr="00FD6A77">
              <w:rPr>
                <w:rFonts w:cs="Times New Roman"/>
                <w:b/>
                <w:bCs/>
                <w:color w:val="000000"/>
                <w:sz w:val="18"/>
                <w:szCs w:val="18"/>
                <w:lang w:eastAsia="ru-RU"/>
              </w:rPr>
              <w:t>      </w:t>
            </w: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>(подпись)</w:t>
            </w:r>
          </w:p>
          <w:p w14:paraId="4BC4C743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571D431C" w14:textId="77777777" w:rsidR="00B45AC4" w:rsidRPr="00FD6A77" w:rsidRDefault="00B45AC4" w:rsidP="00B45AC4">
            <w:pPr>
              <w:spacing w:after="0" w:line="240" w:lineRule="auto"/>
              <w:ind w:left="284" w:right="282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0"/>
                <w:szCs w:val="20"/>
                <w:lang w:eastAsia="ru-RU"/>
              </w:rPr>
              <w:t>«___»_____________  20      г.</w:t>
            </w:r>
          </w:p>
          <w:p w14:paraId="18A466FC" w14:textId="77777777" w:rsidR="00B45AC4" w:rsidRPr="00FD6A77" w:rsidRDefault="00B45AC4" w:rsidP="00B45AC4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</w:tr>
    </w:tbl>
    <w:p w14:paraId="39BAD1E9" w14:textId="77777777" w:rsidR="00FD6A77" w:rsidRP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sz w:val="24"/>
          <w:szCs w:val="24"/>
          <w:lang w:eastAsia="ru-RU"/>
        </w:rPr>
        <w:br/>
      </w:r>
    </w:p>
    <w:p w14:paraId="1509F71D" w14:textId="77777777" w:rsidR="00FD6A77" w:rsidRP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3A59DE17" w14:textId="77777777" w:rsidR="00FD6A77" w:rsidRPr="00FD6A77" w:rsidRDefault="00FD6A77" w:rsidP="00FD6A77">
      <w:pP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 w:val="60"/>
          <w:szCs w:val="60"/>
          <w:lang w:eastAsia="ru-RU"/>
        </w:rPr>
        <w:t>БАКАЛАВРСКАЯ  РАБОТА</w:t>
      </w:r>
    </w:p>
    <w:p w14:paraId="24A9E7EE" w14:textId="77777777" w:rsidR="00FD6A77" w:rsidRPr="00FD6A77" w:rsidRDefault="00FD6A77" w:rsidP="00FD6A77">
      <w:pPr>
        <w:spacing w:after="0" w:line="240" w:lineRule="auto"/>
        <w:rPr>
          <w:rFonts w:cs="Times New Roman"/>
          <w:sz w:val="24"/>
          <w:szCs w:val="24"/>
          <w:lang w:eastAsia="ru-RU"/>
        </w:rPr>
      </w:pPr>
    </w:p>
    <w:p w14:paraId="25336B8E" w14:textId="77777777" w:rsidR="00FD6A77" w:rsidRPr="00FD6A77" w:rsidRDefault="00FD6A77" w:rsidP="00FD6A77">
      <w:pPr>
        <w:spacing w:after="0" w:line="240" w:lineRule="auto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color w:val="000000"/>
          <w:sz w:val="20"/>
          <w:szCs w:val="20"/>
          <w:lang w:eastAsia="ru-RU"/>
        </w:rPr>
        <w:t>   </w:t>
      </w:r>
      <w:r w:rsidRPr="00FD6A77">
        <w:rPr>
          <w:rFonts w:cs="Times New Roman"/>
          <w:color w:val="000000"/>
          <w:sz w:val="24"/>
          <w:szCs w:val="24"/>
          <w:lang w:eastAsia="ru-RU"/>
        </w:rPr>
        <w:t xml:space="preserve">Направление подготовки    </w:t>
      </w:r>
      <w:r w:rsidRPr="00FD6A77">
        <w:rPr>
          <w:rFonts w:cs="Times New Roman"/>
          <w:color w:val="000000"/>
          <w:szCs w:val="28"/>
          <w:lang w:eastAsia="ru-RU"/>
        </w:rPr>
        <w:t>23.03.01 Технология транспортных процессов</w:t>
      </w:r>
    </w:p>
    <w:p w14:paraId="40B1F51C" w14:textId="77777777" w:rsidR="00FD6A77" w:rsidRPr="00FD6A77" w:rsidRDefault="00FD6A77" w:rsidP="00FD6A77">
      <w:pPr>
        <w:spacing w:after="0" w:line="240" w:lineRule="auto"/>
        <w:rPr>
          <w:rFonts w:cs="Times New Roman"/>
          <w:sz w:val="24"/>
          <w:szCs w:val="24"/>
          <w:lang w:eastAsia="ru-RU"/>
        </w:rPr>
      </w:pPr>
    </w:p>
    <w:p w14:paraId="06151ACD" w14:textId="77777777" w:rsidR="00FD6A77" w:rsidRPr="00FD6A77" w:rsidRDefault="00FD6A77" w:rsidP="00FD6A77">
      <w:pPr>
        <w:spacing w:after="0" w:line="240" w:lineRule="auto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color w:val="000000"/>
          <w:sz w:val="24"/>
          <w:szCs w:val="24"/>
          <w:lang w:eastAsia="ru-RU"/>
        </w:rPr>
        <w:t xml:space="preserve">  Программа бакалавриата    </w:t>
      </w:r>
      <w:r w:rsidRPr="00FD6A77">
        <w:rPr>
          <w:rFonts w:cs="Times New Roman"/>
          <w:color w:val="000000"/>
          <w:szCs w:val="28"/>
          <w:lang w:eastAsia="ru-RU"/>
        </w:rPr>
        <w:t>Планирование и эксплуатация городских транспортных систем</w:t>
      </w:r>
    </w:p>
    <w:p w14:paraId="72B1E5F7" w14:textId="77777777" w:rsidR="00FD6A77" w:rsidRP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2DD0171D" w14:textId="77777777" w:rsidR="00FD6A77" w:rsidRPr="00FD6A77" w:rsidRDefault="00FD6A77" w:rsidP="00FD6A77">
      <w:pPr>
        <w:spacing w:after="0" w:line="240" w:lineRule="auto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color w:val="000000"/>
          <w:szCs w:val="28"/>
          <w:lang w:eastAsia="ru-RU"/>
        </w:rPr>
        <w:t>На тему</w:t>
      </w:r>
      <w:r w:rsidRPr="00FD6A77">
        <w:rPr>
          <w:rFonts w:cs="Times New Roman"/>
          <w:b/>
          <w:bCs/>
          <w:color w:val="000000"/>
          <w:szCs w:val="28"/>
          <w:lang w:eastAsia="ru-RU"/>
        </w:rPr>
        <w:t xml:space="preserve">: </w:t>
      </w:r>
      <w:r w:rsidRPr="0003540F">
        <w:rPr>
          <w:rFonts w:cs="Times New Roman"/>
          <w:szCs w:val="28"/>
          <w:lang w:eastAsia="ru-RU"/>
        </w:rPr>
        <w:t>Совершенствование методики оценки задержки транспортных средств на регулируемых перекрестках в условиях перенасыщенности</w:t>
      </w:r>
    </w:p>
    <w:p w14:paraId="23137A0B" w14:textId="77777777" w:rsidR="00FD6A77" w:rsidRP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sz w:val="24"/>
          <w:szCs w:val="24"/>
          <w:lang w:eastAsia="ru-RU"/>
        </w:rPr>
        <w:br/>
      </w:r>
      <w:r w:rsidRPr="00FD6A77">
        <w:rPr>
          <w:rFonts w:cs="Times New Roman"/>
          <w:sz w:val="24"/>
          <w:szCs w:val="24"/>
          <w:lang w:eastAsia="ru-RU"/>
        </w:rPr>
        <w:br/>
      </w:r>
    </w:p>
    <w:tbl>
      <w:tblPr>
        <w:tblpPr w:leftFromText="180" w:rightFromText="180" w:vertAnchor="text" w:horzAnchor="margin" w:tblpXSpec="right" w:tblpY="622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1974"/>
      </w:tblGrid>
      <w:tr w:rsidR="00FD6A77" w:rsidRPr="00FD6A77" w14:paraId="4F134CDF" w14:textId="77777777" w:rsidTr="00FD6A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3DCEEA" w14:textId="77777777" w:rsidR="00FD6A77" w:rsidRPr="00FD6A77" w:rsidRDefault="00FD6A77" w:rsidP="00FD6A77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Обучающийся </w:t>
            </w:r>
          </w:p>
          <w:p w14:paraId="0737B576" w14:textId="77777777" w:rsidR="00FD6A77" w:rsidRPr="00FD6A77" w:rsidRDefault="00FD6A77" w:rsidP="00FD6A77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392A28" w14:textId="77777777" w:rsidR="00FD6A77" w:rsidRPr="00FD6A77" w:rsidRDefault="00FD6A77" w:rsidP="00FD6A77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Хвастунов А.Н.</w:t>
            </w:r>
          </w:p>
        </w:tc>
      </w:tr>
      <w:tr w:rsidR="00FD6A77" w:rsidRPr="00FD6A77" w14:paraId="38AC662A" w14:textId="77777777" w:rsidTr="00FD6A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78E918" w14:textId="77777777" w:rsidR="00FD6A77" w:rsidRPr="00FD6A77" w:rsidRDefault="00FD6A77" w:rsidP="00FD6A77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  <w:r>
              <w:rPr>
                <w:rFonts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cs="Times New Roman"/>
                <w:b/>
                <w:bCs/>
                <w:color w:val="000000"/>
                <w:sz w:val="24"/>
                <w:szCs w:val="24"/>
                <w:lang w:eastAsia="ru-RU"/>
              </w:rPr>
              <w:t>бакалаврской</w:t>
            </w:r>
            <w:r w:rsidRPr="00FD6A77">
              <w:rPr>
                <w:rFonts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работы</w:t>
            </w:r>
          </w:p>
          <w:p w14:paraId="63930EA4" w14:textId="77777777" w:rsidR="00FD6A77" w:rsidRPr="00FD6A77" w:rsidRDefault="00FD6A77" w:rsidP="00FD6A77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A58A03" w14:textId="77777777" w:rsidR="00FD6A77" w:rsidRPr="00FD6A77" w:rsidRDefault="00FD6A77" w:rsidP="00FD6A77">
            <w:pPr>
              <w:spacing w:after="0"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FD6A77">
              <w:rPr>
                <w:rFonts w:cs="Times New Roman"/>
                <w:b/>
                <w:bCs/>
                <w:color w:val="000000"/>
                <w:sz w:val="24"/>
                <w:szCs w:val="24"/>
                <w:shd w:val="clear" w:color="auto" w:fill="FFFF00"/>
                <w:lang w:eastAsia="ru-RU"/>
              </w:rPr>
              <w:t>(Фамилия И.О.)</w:t>
            </w:r>
          </w:p>
        </w:tc>
      </w:tr>
    </w:tbl>
    <w:p w14:paraId="48D82144" w14:textId="77777777" w:rsid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sz w:val="24"/>
          <w:szCs w:val="24"/>
          <w:lang w:eastAsia="ru-RU"/>
        </w:rPr>
        <w:br/>
      </w:r>
    </w:p>
    <w:p w14:paraId="2680F689" w14:textId="77777777" w:rsid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3C7EAE87" w14:textId="77777777" w:rsid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62FA32D4" w14:textId="77777777" w:rsid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337CDB4A" w14:textId="77777777" w:rsid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57F56B6A" w14:textId="77777777" w:rsid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7D26B0EC" w14:textId="77777777" w:rsidR="00FD6A77" w:rsidRPr="00FD6A77" w:rsidRDefault="00FD6A77" w:rsidP="00FD6A77">
      <w:pPr>
        <w:spacing w:after="240" w:line="240" w:lineRule="auto"/>
        <w:rPr>
          <w:rFonts w:cs="Times New Roman"/>
          <w:sz w:val="24"/>
          <w:szCs w:val="24"/>
          <w:lang w:eastAsia="ru-RU"/>
        </w:rPr>
      </w:pPr>
    </w:p>
    <w:p w14:paraId="505E51C2" w14:textId="77777777" w:rsidR="00FD6A77" w:rsidRPr="00FD6A77" w:rsidRDefault="00FD6A77" w:rsidP="00FD6A77">
      <w:pPr>
        <w:spacing w:after="0"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FD6A77">
        <w:rPr>
          <w:rFonts w:cs="Times New Roman"/>
          <w:b/>
          <w:bCs/>
          <w:color w:val="000000"/>
          <w:sz w:val="20"/>
          <w:szCs w:val="20"/>
          <w:lang w:eastAsia="ru-RU"/>
        </w:rPr>
        <w:t>Москва   20</w:t>
      </w:r>
      <w:r>
        <w:rPr>
          <w:rFonts w:cs="Times New Roman"/>
          <w:b/>
          <w:bCs/>
          <w:color w:val="000000"/>
          <w:sz w:val="20"/>
          <w:szCs w:val="20"/>
          <w:lang w:eastAsia="ru-RU"/>
        </w:rPr>
        <w:t>26</w:t>
      </w:r>
      <w:r w:rsidRPr="00FD6A77">
        <w:rPr>
          <w:rFonts w:cs="Times New Roman"/>
          <w:b/>
          <w:bCs/>
          <w:color w:val="000000"/>
          <w:sz w:val="20"/>
          <w:szCs w:val="20"/>
          <w:lang w:eastAsia="ru-RU"/>
        </w:rPr>
        <w:t xml:space="preserve"> г.</w:t>
      </w:r>
    </w:p>
    <w:p w14:paraId="4D735B6A" w14:textId="77777777" w:rsidR="00550782" w:rsidRDefault="005F4250">
      <w:r>
        <w:br/>
      </w:r>
    </w:p>
    <w:p w14:paraId="5D86C67A" w14:textId="77777777" w:rsidR="00550782" w:rsidRDefault="005F4250">
      <w:pPr>
        <w:pStyle w:val="11"/>
        <w:spacing w:before="240" w:after="120"/>
        <w:jc w:val="center"/>
      </w:pPr>
      <w:r>
        <w:lastRenderedPageBreak/>
        <w:t>СОДЕРЖАНИЕ</w:t>
      </w:r>
    </w:p>
    <w:p w14:paraId="39810FD8" w14:textId="77777777" w:rsidR="00B45AC4" w:rsidRDefault="00B45AC4" w:rsidP="00B45AC4">
      <w:pPr>
        <w:pStyle w:val="a3"/>
      </w:pPr>
      <w:r>
        <w:rPr>
          <w:rStyle w:val="a4"/>
        </w:rPr>
        <w:t>Введение</w:t>
      </w:r>
    </w:p>
    <w:p w14:paraId="2749A35E" w14:textId="77777777" w:rsidR="00B45AC4" w:rsidRDefault="00B45AC4" w:rsidP="00B45AC4">
      <w:pPr>
        <w:pStyle w:val="a3"/>
      </w:pPr>
      <w:r>
        <w:rPr>
          <w:rStyle w:val="a4"/>
        </w:rPr>
        <w:t>Глава 1. Анализ подходов к оценке задержки на регулируемых перекрёстках</w:t>
      </w:r>
      <w:r>
        <w:br/>
      </w:r>
      <w:bookmarkStart w:id="0" w:name="_Hlk242109411"/>
      <w:r>
        <w:t>1.1. Задержка как показатель эффективности и уровня обслуживания</w:t>
      </w:r>
      <w:bookmarkEnd w:id="0"/>
      <w:r>
        <w:br/>
        <w:t>1.2. Подходы российской нормативной и учебно-методической базы</w:t>
      </w:r>
      <w:r>
        <w:br/>
        <w:t>1.3. Зарубежные подходы: HCM 2016/2022, Akçelik</w:t>
      </w:r>
      <w:r>
        <w:br/>
        <w:t>1.4. Проблема перенасыщения (X ≥ 1) и границы применимости упрощённых формул</w:t>
      </w:r>
      <w:r>
        <w:br/>
        <w:t>Выводы по главе 1</w:t>
      </w:r>
    </w:p>
    <w:p w14:paraId="4F0D1514" w14:textId="77777777" w:rsidR="00B45AC4" w:rsidRDefault="00B45AC4" w:rsidP="00B45AC4">
      <w:pPr>
        <w:pStyle w:val="a3"/>
      </w:pPr>
      <w:r>
        <w:rPr>
          <w:rStyle w:val="a4"/>
        </w:rPr>
        <w:t>Глава 2. Математическая модель составной задержки</w:t>
      </w:r>
      <w:r>
        <w:br/>
        <w:t>2.1. Равномерная задержка d₁ и фактор координации PF</w:t>
      </w:r>
      <w:r>
        <w:br/>
        <w:t>2.2. Случайная задержка d₂</w:t>
      </w:r>
      <w:r>
        <w:br/>
        <w:t>2.3. Задержка от начальной очереди d₃ и многопериодный анализ</w:t>
      </w:r>
      <w:r>
        <w:br/>
        <w:t>2.4. Допущения и ограничения модели</w:t>
      </w:r>
      <w:r>
        <w:br/>
        <w:t>Выводы по главе 2</w:t>
      </w:r>
    </w:p>
    <w:p w14:paraId="43EE887E" w14:textId="77777777" w:rsidR="00B45AC4" w:rsidRDefault="00B45AC4" w:rsidP="00B45AC4">
      <w:pPr>
        <w:pStyle w:val="a3"/>
      </w:pPr>
      <w:r>
        <w:rPr>
          <w:rStyle w:val="a4"/>
        </w:rPr>
        <w:t>Глава 3. Программная реализация и имитационное моделирование</w:t>
      </w:r>
      <w:r>
        <w:br/>
        <w:t>3.1. Архитектура и алгоритм программного модуля на Python</w:t>
      </w:r>
      <w:r>
        <w:br/>
        <w:t>3.2. Построение имитационной модели (SUMO или Vissim) и сценарии перегрузки</w:t>
      </w:r>
      <w:r>
        <w:br/>
        <w:t>3.3. Исходные данные и калибровка</w:t>
      </w:r>
      <w:r>
        <w:br/>
        <w:t>Выводы по главе 3</w:t>
      </w:r>
    </w:p>
    <w:p w14:paraId="30F716A7" w14:textId="77777777" w:rsidR="00B45AC4" w:rsidRDefault="00B45AC4" w:rsidP="00B45AC4">
      <w:pPr>
        <w:pStyle w:val="a3"/>
      </w:pPr>
      <w:r>
        <w:rPr>
          <w:rStyle w:val="a4"/>
        </w:rPr>
        <w:t>Глава 4. Результаты и сопоставление</w:t>
      </w:r>
      <w:r>
        <w:br/>
        <w:t>4.1. Сравнение расчётных и имитационных значений</w:t>
      </w:r>
      <w:r>
        <w:br/>
        <w:t>4.2. Анализ чувствительности (поток насыщения, PF, длительность пика)</w:t>
      </w:r>
      <w:r>
        <w:br/>
        <w:t>4.3. Рекомендации по применению</w:t>
      </w:r>
      <w:r>
        <w:br/>
        <w:t>Выводы по главе 4</w:t>
      </w:r>
    </w:p>
    <w:p w14:paraId="122CC615" w14:textId="77777777" w:rsidR="00B45AC4" w:rsidRDefault="00B45AC4" w:rsidP="00B45AC4">
      <w:pPr>
        <w:pStyle w:val="a3"/>
      </w:pPr>
      <w:r>
        <w:rPr>
          <w:rStyle w:val="a4"/>
        </w:rPr>
        <w:t>Заключение</w:t>
      </w:r>
    </w:p>
    <w:p w14:paraId="5AB7DD0F" w14:textId="77777777" w:rsidR="00B45AC4" w:rsidRDefault="00B45AC4" w:rsidP="00B45AC4">
      <w:pPr>
        <w:pStyle w:val="a3"/>
        <w:rPr>
          <w:rStyle w:val="a4"/>
        </w:rPr>
      </w:pPr>
      <w:r>
        <w:rPr>
          <w:rStyle w:val="a4"/>
        </w:rPr>
        <w:t>Список литературы</w:t>
      </w:r>
    </w:p>
    <w:p w14:paraId="3304D06E" w14:textId="2B355EC2" w:rsidR="00550782" w:rsidRDefault="00550782">
      <w:pPr>
        <w:tabs>
          <w:tab w:val="left" w:pos="9071"/>
        </w:tabs>
        <w:spacing w:line="240" w:lineRule="auto"/>
      </w:pPr>
    </w:p>
    <w:p w14:paraId="5ABCDC82" w14:textId="77777777" w:rsidR="00550782" w:rsidRDefault="005F4250">
      <w:r>
        <w:br w:type="page"/>
      </w:r>
    </w:p>
    <w:p w14:paraId="1A644B2F" w14:textId="77777777" w:rsidR="00550782" w:rsidRDefault="005F4250" w:rsidP="00B45AC4">
      <w:pPr>
        <w:pStyle w:val="11"/>
        <w:spacing w:before="240" w:after="120"/>
        <w:ind w:firstLine="708"/>
      </w:pPr>
      <w:r>
        <w:lastRenderedPageBreak/>
        <w:t>Введение</w:t>
      </w:r>
    </w:p>
    <w:p w14:paraId="14A50964" w14:textId="77777777" w:rsidR="00550782" w:rsidRDefault="005F4250">
      <w:pPr>
        <w:ind w:firstLine="709"/>
        <w:jc w:val="both"/>
      </w:pPr>
      <w:r>
        <w:t>Современное развитие городских транспортных систем сопровождается ростом интенсивности движения и повышением нагрузки на регулируемые пересечения. В часы пик отдельные подходы к перекрёсткам могут работать в режиме, при котором интенсивность пр</w:t>
      </w:r>
      <w:r>
        <w:t>ибывающего потока приближается к пропускной способности или превышает её. При таком режиме часть очереди переносится из одного цикла в следующий, а задержка перестаёт определяться только параметрами текущего светофорного цикла. Поэтому достоверная оценка з</w:t>
      </w:r>
      <w:r>
        <w:t>адержки становится необходимой для анализа качества транспортного обслуживания и выбора мероприятий по совершенствованию организации движения.</w:t>
      </w:r>
    </w:p>
    <w:p w14:paraId="1A660777" w14:textId="044C3790" w:rsidR="00550782" w:rsidRDefault="005F4250">
      <w:pPr>
        <w:ind w:firstLine="709"/>
        <w:jc w:val="both"/>
      </w:pPr>
      <w:r>
        <w:t>Задержка является одним из основных показателей эксплуатационной эффективности регулируемого перекрёстка. В между</w:t>
      </w:r>
      <w:r>
        <w:t xml:space="preserve">народной практике, в частности в Highway Capacity Manual (HCM), для сигнализируемых пересечений используется показатель control delay </w:t>
      </w:r>
      <w:r w:rsidR="00B45AC4">
        <w:t>–</w:t>
      </w:r>
      <w:r>
        <w:t xml:space="preserve"> задержка от управления, учитывающая замедление перед перекрёстком, пребывание в очереди и восстановление скорости после </w:t>
      </w:r>
      <w:r>
        <w:t>её прохождения. HCM 6-го и 7-го изданий развивают составной подход, в котором учитываются равномерная, дополнительная и начальная (переходящая) составляющие задержки [1, 2].</w:t>
      </w:r>
    </w:p>
    <w:p w14:paraId="5739144E" w14:textId="77777777" w:rsidR="00550782" w:rsidRDefault="005F4250">
      <w:pPr>
        <w:ind w:firstLine="709"/>
        <w:jc w:val="both"/>
      </w:pPr>
      <w:r>
        <w:t>В российской практике расчёт эксплуатационных показателей регулируемых пересечений</w:t>
      </w:r>
      <w:r>
        <w:t xml:space="preserve"> опирается на нормативные и методические документы, устанавливающие требования к организации движения, параметрам светофорного регулирования, пропускной способности и оценке условий движения. При этом отдельные расчётные зависимости исторически ориентирова</w:t>
      </w:r>
      <w:r>
        <w:t>ны преимущественно на установившиеся или недонасыщенные режимы. В условиях устойчивой перегрузки особое значение приобретает учёт переходящей очереди и длительности периода, в течение которого спрос превышает пропускную способность [4, 5].</w:t>
      </w:r>
    </w:p>
    <w:p w14:paraId="43CCD764" w14:textId="77777777" w:rsidR="00550782" w:rsidRDefault="005F4250">
      <w:pPr>
        <w:ind w:firstLine="709"/>
        <w:jc w:val="both"/>
      </w:pPr>
      <w:r>
        <w:lastRenderedPageBreak/>
        <w:t>Актуальность раб</w:t>
      </w:r>
      <w:r>
        <w:t>оты определяется необходимостью повышения достоверности оценки задержки на регулируемых перекрёстках при степени насыщения X ≥ 1,0. В таких условиях применение только стационарных формул может не отражать накопление очереди во времени. Дополнительную пробл</w:t>
      </w:r>
      <w:r>
        <w:t>ему представляет необходимость сопоставления аналитического расчёта с результатами микроимитационного моделирования, которое позволяет непосредственно воспроизводить образование, рассасывание и перенос очереди между расчётными интервалами.</w:t>
      </w:r>
    </w:p>
    <w:p w14:paraId="246FF61D" w14:textId="3AA6908A" w:rsidR="00550782" w:rsidRDefault="005F4250">
      <w:pPr>
        <w:ind w:firstLine="709"/>
        <w:jc w:val="both"/>
      </w:pPr>
      <w:r>
        <w:t>Объект исследова</w:t>
      </w:r>
      <w:r>
        <w:t xml:space="preserve">ния </w:t>
      </w:r>
      <w:r w:rsidR="00B45AC4">
        <w:t>–</w:t>
      </w:r>
      <w:r>
        <w:t xml:space="preserve"> процесс движения транспортных потоков через регулируемые перекрёстки в условиях недонасыщенного и перенасыщенного режимов.</w:t>
      </w:r>
    </w:p>
    <w:p w14:paraId="764187C1" w14:textId="62FD5A19" w:rsidR="00550782" w:rsidRDefault="005F4250">
      <w:pPr>
        <w:ind w:firstLine="709"/>
        <w:jc w:val="both"/>
      </w:pPr>
      <w:r>
        <w:t xml:space="preserve">Предмет исследования </w:t>
      </w:r>
      <w:r w:rsidR="00B45AC4">
        <w:t>–</w:t>
      </w:r>
      <w:r>
        <w:t xml:space="preserve"> методы расчёта средней задержки транспортных средств и её составляющих при изменении степени насыщения, </w:t>
      </w:r>
      <w:r>
        <w:t>параметров светофорного регулирования, условий координации и наличия переходящей очереди.</w:t>
      </w:r>
    </w:p>
    <w:p w14:paraId="4B01F36B" w14:textId="516FCE0B" w:rsidR="00550782" w:rsidRDefault="005F4250">
      <w:pPr>
        <w:ind w:firstLine="709"/>
        <w:jc w:val="both"/>
      </w:pPr>
      <w:r>
        <w:t xml:space="preserve">Цель работы </w:t>
      </w:r>
      <w:r w:rsidR="00B45AC4">
        <w:t>–</w:t>
      </w:r>
      <w:r>
        <w:t xml:space="preserve"> повысить достоверность оценки задержки транспортных средств на регулируемых перекрёстках в условиях перенасыщенности посредством систематизации и програ</w:t>
      </w:r>
      <w:r>
        <w:t>ммной реализации составной модели задержки с последующим сопоставлением расчётных результатов с данными имитационного моделирования.</w:t>
      </w:r>
    </w:p>
    <w:p w14:paraId="24E436E6" w14:textId="77777777" w:rsidR="00550782" w:rsidRDefault="005F4250">
      <w:pPr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621AE607" w14:textId="77777777" w:rsidR="00550782" w:rsidRDefault="005F4250">
      <w:pPr>
        <w:jc w:val="both"/>
      </w:pPr>
      <w:r>
        <w:t xml:space="preserve">1. проанализировать отечественные </w:t>
      </w:r>
      <w:r>
        <w:t>нормативные и учебно-методические подходы к оценке задержки на регулируемых пересечениях и определить их особенности при X ≥ 1,0;</w:t>
      </w:r>
    </w:p>
    <w:p w14:paraId="3CF77788" w14:textId="77777777" w:rsidR="00550782" w:rsidRDefault="005F4250">
      <w:pPr>
        <w:jc w:val="both"/>
      </w:pPr>
      <w:r>
        <w:t>2. рассмотреть зарубежные подходы HCM и Akçelik, определить структуру используемых моделей и область их применения;</w:t>
      </w:r>
    </w:p>
    <w:p w14:paraId="7CB15FD7" w14:textId="77777777" w:rsidR="00550782" w:rsidRDefault="005F4250">
      <w:pPr>
        <w:jc w:val="both"/>
      </w:pPr>
      <w:r>
        <w:lastRenderedPageBreak/>
        <w:t>3. система</w:t>
      </w:r>
      <w:r>
        <w:t>тизировать составляющие составной модели задержки d = d₁·PF + d₂ + d₃ и определить параметры, влияющие на каждую из них;</w:t>
      </w:r>
    </w:p>
    <w:p w14:paraId="3BB6A73A" w14:textId="77777777" w:rsidR="00550782" w:rsidRDefault="005F4250">
      <w:pPr>
        <w:jc w:val="both"/>
      </w:pPr>
      <w:r>
        <w:t>4. разработать программный модуль расчёта задержки на языке Python;</w:t>
      </w:r>
    </w:p>
    <w:p w14:paraId="693A3A1A" w14:textId="77777777" w:rsidR="00550782" w:rsidRDefault="005F4250">
      <w:pPr>
        <w:jc w:val="both"/>
      </w:pPr>
      <w:r>
        <w:t>5. сформировать сценарии имитационного моделирования перегруженного</w:t>
      </w:r>
      <w:r>
        <w:t xml:space="preserve"> регулируемого перекрёстка с изменением интенсивности, длительности пикового периода, параметров цикла и качества координации;</w:t>
      </w:r>
    </w:p>
    <w:p w14:paraId="79D3F612" w14:textId="77777777" w:rsidR="00550782" w:rsidRDefault="005F4250">
      <w:pPr>
        <w:jc w:val="both"/>
      </w:pPr>
      <w:r>
        <w:t>6. сопоставить аналитические и имитационные значения задержки, определить характер и величину расхождений;</w:t>
      </w:r>
    </w:p>
    <w:p w14:paraId="53940FB1" w14:textId="77777777" w:rsidR="00550782" w:rsidRDefault="005F4250">
      <w:pPr>
        <w:jc w:val="both"/>
      </w:pPr>
      <w:r>
        <w:t>7. разработать рекомен</w:t>
      </w:r>
      <w:r>
        <w:t>дации по применению модели и калибровке её параметров для условий рассматриваемых транспортных объектов.</w:t>
      </w:r>
    </w:p>
    <w:p w14:paraId="722ADC94" w14:textId="77777777" w:rsidR="00550782" w:rsidRDefault="005F4250">
      <w:pPr>
        <w:ind w:firstLine="709"/>
        <w:jc w:val="both"/>
      </w:pPr>
      <w:r>
        <w:t>Методы исследования включают анализ нормативной и научно-технической литературы, математическое моделирование, аналитический расчёт составляющих задерж</w:t>
      </w:r>
      <w:r>
        <w:t>ки, программную реализацию алгоритмов на Python, микроимитационное моделирование транспортного движения, сравнительный анализ результатов и анализ чувствительности модели к изменению исходных параметров.</w:t>
      </w:r>
    </w:p>
    <w:p w14:paraId="715D0D74" w14:textId="77777777" w:rsidR="00550782" w:rsidRDefault="005F4250">
      <w:pPr>
        <w:ind w:firstLine="709"/>
        <w:jc w:val="both"/>
      </w:pPr>
      <w:r>
        <w:t>Научная новизна работы состоит в комплексном рассмот</w:t>
      </w:r>
      <w:r>
        <w:t>рении оценки задержки в условиях перенасыщения с выделением переходящей очереди как самостоятельного фактора и в разработке программного инструмента, позволяющего сопоставлять результаты аналитической модели и микроимитации. Практическая значимость заключа</w:t>
      </w:r>
      <w:r>
        <w:t>ется в возможности использовать разработанный расчётный аппарат для предварительной оценки эффективности решений по организации движения и для определения параметров, требующих калибровки по данным наблюдений или имитации.</w:t>
      </w:r>
    </w:p>
    <w:p w14:paraId="5C32F4ED" w14:textId="77777777" w:rsidR="00550782" w:rsidRDefault="005F4250" w:rsidP="00B45AC4">
      <w:pPr>
        <w:pStyle w:val="11"/>
        <w:spacing w:before="240" w:after="120"/>
        <w:jc w:val="center"/>
      </w:pPr>
      <w:r>
        <w:lastRenderedPageBreak/>
        <w:t>Глава 1</w:t>
      </w:r>
      <w:r>
        <w:t>.</w:t>
      </w:r>
      <w:r>
        <w:t xml:space="preserve"> Анализ подходов к оценке задержки на регулируемых перекрёстках</w:t>
      </w:r>
    </w:p>
    <w:p w14:paraId="29EB0B74" w14:textId="3A0E0017" w:rsidR="00550782" w:rsidRDefault="005F4250" w:rsidP="00B45AC4">
      <w:pPr>
        <w:pStyle w:val="21"/>
        <w:spacing w:before="120" w:after="120"/>
        <w:ind w:firstLine="708"/>
      </w:pPr>
      <w:r>
        <w:t>1.1</w:t>
      </w:r>
      <w:r>
        <w:t xml:space="preserve"> Задержка как показатель эффективности и уровня обслуживания</w:t>
      </w:r>
    </w:p>
    <w:p w14:paraId="39233570" w14:textId="77777777" w:rsidR="00550782" w:rsidRDefault="005F4250">
      <w:pPr>
        <w:ind w:firstLine="709"/>
        <w:jc w:val="both"/>
      </w:pPr>
      <w:r>
        <w:t>Задержка транспортны</w:t>
      </w:r>
      <w:r>
        <w:t>х средств относится к ключевым показателям качества работы регулируемого перекрёстка, поскольку непосредственно характеризует потери времени участников движения. В отличие от интенсивности, которая описывает объём транспортного потока, и пропускной способн</w:t>
      </w:r>
      <w:r>
        <w:t>ости, характеризующей потенциальный объём обслуживания, задержка отражает фактические последствия взаимодействия транспортного спроса с геометрией пересечения и режимом светофорного регулирования. Поэтому показатель задержки применяется при оценке существу</w:t>
      </w:r>
      <w:r>
        <w:t>ющих условий движения, сравнении проектных вариантов и анализе эффективности мероприятий по организации дорожного движения [1, 2, 5].</w:t>
      </w:r>
    </w:p>
    <w:p w14:paraId="16C5CA6E" w14:textId="77777777" w:rsidR="00550782" w:rsidRDefault="005F4250">
      <w:pPr>
        <w:ind w:firstLine="709"/>
        <w:jc w:val="both"/>
      </w:pPr>
      <w:r>
        <w:t>В настоящей работе принципиально важно разграничить несколько близких по смыслу показателей. В зависимости от принятой мет</w:t>
      </w:r>
      <w:r>
        <w:t>одики под задержкой могут понимать только время остановки, полные потери времени на подходе или задержку от управления. Для корректного сопоставления результатов расчёта, натурных измерений и микроимитации необходимо использовать одинаковое определение пок</w:t>
      </w:r>
      <w:r>
        <w:t>азателя.</w:t>
      </w:r>
    </w:p>
    <w:p w14:paraId="3CF38F0A" w14:textId="625AB6C4" w:rsidR="00550782" w:rsidRDefault="00B45AC4">
      <w:pPr>
        <w:ind w:left="709" w:hanging="283"/>
        <w:jc w:val="both"/>
      </w:pPr>
      <w:r>
        <w:t>–</w:t>
      </w:r>
      <w:r w:rsidR="005F4250">
        <w:t xml:space="preserve"> задержка остановки </w:t>
      </w:r>
      <w:r>
        <w:t>–</w:t>
      </w:r>
      <w:r w:rsidR="005F4250">
        <w:t xml:space="preserve"> время, в течение которого транспортное средство находится</w:t>
      </w:r>
      <w:r>
        <w:t xml:space="preserve"> </w:t>
      </w:r>
      <w:r w:rsidR="005F4250">
        <w:t>в неподвижном состоянии в очереди;</w:t>
      </w:r>
    </w:p>
    <w:p w14:paraId="66C34B7F" w14:textId="778A84CA" w:rsidR="00550782" w:rsidRDefault="00B45AC4">
      <w:pPr>
        <w:ind w:left="709" w:hanging="283"/>
        <w:jc w:val="both"/>
      </w:pPr>
      <w:r>
        <w:t>–</w:t>
      </w:r>
      <w:r w:rsidR="005F4250">
        <w:t xml:space="preserve"> задержка на подходе </w:t>
      </w:r>
      <w:r>
        <w:t>–</w:t>
      </w:r>
      <w:r w:rsidR="005F4250">
        <w:t xml:space="preserve"> дополнительные потери времени, возникающие вследствие замедления при приближении к очереди, остановки, движ</w:t>
      </w:r>
      <w:r w:rsidR="005F4250">
        <w:t>ения в очереди и последующего разгона;</w:t>
      </w:r>
    </w:p>
    <w:p w14:paraId="6D34314F" w14:textId="5494B632" w:rsidR="00550782" w:rsidRDefault="00B45AC4">
      <w:pPr>
        <w:ind w:left="709" w:hanging="283"/>
        <w:jc w:val="both"/>
      </w:pPr>
      <w:r>
        <w:t>–</w:t>
      </w:r>
      <w:r w:rsidR="005F4250">
        <w:t xml:space="preserve"> задержка от управления (control delay) </w:t>
      </w:r>
      <w:r>
        <w:t>–</w:t>
      </w:r>
      <w:r w:rsidR="005F4250">
        <w:t xml:space="preserve"> прирост времени прохождения, обусловленный воздействием устройства управления движением; именно этот показатель является основным показателем </w:t>
      </w:r>
      <w:r w:rsidR="005F4250">
        <w:lastRenderedPageBreak/>
        <w:t>эксплуатационной эффективности с</w:t>
      </w:r>
      <w:r w:rsidR="005F4250">
        <w:t>игнализируемого пересечения в HCM [1, 2];</w:t>
      </w:r>
    </w:p>
    <w:p w14:paraId="06548C4E" w14:textId="08663AFD" w:rsidR="00550782" w:rsidRDefault="00B45AC4">
      <w:pPr>
        <w:ind w:left="709" w:hanging="283"/>
        <w:jc w:val="both"/>
      </w:pPr>
      <w:r>
        <w:t>–</w:t>
      </w:r>
      <w:r w:rsidR="005F4250">
        <w:t xml:space="preserve"> задержка времени в пути </w:t>
      </w:r>
      <w:r>
        <w:t>–</w:t>
      </w:r>
      <w:r w:rsidR="005F4250">
        <w:t xml:space="preserve"> разность между фактическим временем прохождения рассматриваемого участка и временем движения при свободном потоке.</w:t>
      </w:r>
    </w:p>
    <w:p w14:paraId="74972F53" w14:textId="576F144C" w:rsidR="00550782" w:rsidRDefault="005F4250">
      <w:pPr>
        <w:ind w:firstLine="709"/>
        <w:jc w:val="both"/>
      </w:pPr>
      <w:r>
        <w:t xml:space="preserve">Для дальнейшего анализа принимается, что основной показатель </w:t>
      </w:r>
      <w:r>
        <w:t xml:space="preserve">работы регулируемого перекрёстка </w:t>
      </w:r>
      <w:r w:rsidR="00B45AC4">
        <w:t>–</w:t>
      </w:r>
      <w:r>
        <w:t xml:space="preserve"> средняя задержка от управления в секундах на транспортное средство. Такое определение позволяет связать расчётную модель с оценкой уровня обслуживания и с результатами микроимитационного моделирования, в котором задержка </w:t>
      </w:r>
      <w:r>
        <w:t>также может быть получена как разность фактического и базового времени движения.</w:t>
      </w:r>
    </w:p>
    <w:p w14:paraId="66FF7CAF" w14:textId="77777777" w:rsidR="00550782" w:rsidRDefault="005F4250">
      <w:pPr>
        <w:ind w:firstLine="709"/>
        <w:jc w:val="both"/>
      </w:pPr>
      <w:r>
        <w:t>Задержка существенно зависит от степени насыщения подхода. В общем случае степень насыщения определяется отношением спроса к пропускной способности:</w:t>
      </w:r>
    </w:p>
    <w:p w14:paraId="725F3763" w14:textId="77777777" w:rsidR="00550782" w:rsidRDefault="005F4250">
      <w:pPr>
        <w:spacing w:before="120" w:after="120" w:line="240" w:lineRule="auto"/>
        <w:jc w:val="center"/>
      </w:pPr>
      <w:r>
        <w:t>X = v / c   (1.1)</w:t>
      </w:r>
    </w:p>
    <w:p w14:paraId="49DCCDCC" w14:textId="31C4D613" w:rsidR="00550782" w:rsidRDefault="005F4250">
      <w:pPr>
        <w:ind w:firstLine="709"/>
        <w:jc w:val="both"/>
      </w:pPr>
      <w:r>
        <w:t xml:space="preserve">где v </w:t>
      </w:r>
      <w:r w:rsidR="00B45AC4">
        <w:t>–</w:t>
      </w:r>
      <w:r>
        <w:t xml:space="preserve"> </w:t>
      </w:r>
      <w:r>
        <w:t xml:space="preserve">интенсивность транспортного потока, прив. ед./ч; c </w:t>
      </w:r>
      <w:r w:rsidR="00B45AC4">
        <w:t>–</w:t>
      </w:r>
      <w:r>
        <w:t xml:space="preserve"> пропускная способность рассматриваемой группы полос, прив. ед./ч.</w:t>
      </w:r>
    </w:p>
    <w:p w14:paraId="36CFD643" w14:textId="77777777" w:rsidR="00550782" w:rsidRDefault="005F4250">
      <w:pPr>
        <w:ind w:firstLine="709"/>
        <w:jc w:val="both"/>
      </w:pPr>
      <w:r>
        <w:t xml:space="preserve">При X &lt; 1 пропускная способность в среднем достаточна для обслуживания прибывающего потока. По мере приближения X к единице </w:t>
      </w:r>
      <w:r>
        <w:t>возрастает чувствительность задержки к случайным колебаниям прибытия и условиям работы сигнала. При X &gt; 1 средний спрос превышает способность подхода обслуживать поток за расчётный период. Возникает переходящая очередь, которая частично переносится в следу</w:t>
      </w:r>
      <w:r>
        <w:t>ющий цикл или следующий временной интервал. Поэтому для перенасыщенного режима одной характеристики текущего цикла недостаточно: необходимо учитывать предысторию состояния очереди.</w:t>
      </w:r>
    </w:p>
    <w:p w14:paraId="5E5BA94C" w14:textId="2D20DE49" w:rsidR="00550782" w:rsidRDefault="005F4250">
      <w:pPr>
        <w:ind w:firstLine="709"/>
        <w:jc w:val="both"/>
      </w:pPr>
      <w:r>
        <w:t>Связь задержки с уровнем обслуживания (Level of Service, LOS) является одни</w:t>
      </w:r>
      <w:r>
        <w:t xml:space="preserve">м из наиболее важных практических аспектов. В HCM уровень </w:t>
      </w:r>
      <w:r>
        <w:lastRenderedPageBreak/>
        <w:t>обслуживания сигнализируемого пересечения определяется по средней задержке от управления, однако при анализе отдельных групп полос также учитывается отношение спроса к пропускной способности. Для HC</w:t>
      </w:r>
      <w:r>
        <w:t xml:space="preserve">M 7 значения задержки до 10 с/авт. соответствуют уровню A, более 10–20 с </w:t>
      </w:r>
      <w:r w:rsidR="00B45AC4">
        <w:t>–</w:t>
      </w:r>
      <w:r>
        <w:t xml:space="preserve"> B, более 20–35 с </w:t>
      </w:r>
      <w:r w:rsidR="00B45AC4">
        <w:t>–</w:t>
      </w:r>
      <w:r>
        <w:t xml:space="preserve"> C, более 35–55 с </w:t>
      </w:r>
      <w:r w:rsidR="00B45AC4">
        <w:t>–</w:t>
      </w:r>
      <w:r>
        <w:t xml:space="preserve"> D, более 55–80 с </w:t>
      </w:r>
      <w:r w:rsidR="00B45AC4">
        <w:t>–</w:t>
      </w:r>
      <w:r>
        <w:t xml:space="preserve"> E и более 80 с </w:t>
      </w:r>
      <w:r w:rsidR="00B45AC4">
        <w:t>–</w:t>
      </w:r>
      <w:r>
        <w:t xml:space="preserve"> F. При X &gt; 1 для отдельной группы полос назначается LOS F, поскольку спрос превышает её пропускную способно</w:t>
      </w:r>
      <w:r>
        <w:t>сть [2].</w:t>
      </w:r>
    </w:p>
    <w:p w14:paraId="7D7AA418" w14:textId="4F722AF7" w:rsidR="00550782" w:rsidRDefault="005F4250">
      <w:pPr>
        <w:ind w:firstLine="709"/>
        <w:jc w:val="both"/>
      </w:pPr>
      <w:r>
        <w:t xml:space="preserve">Таким образом, уровень обслуживания является итоговой категорией, а задержка </w:t>
      </w:r>
      <w:r w:rsidR="00B45AC4">
        <w:t>–</w:t>
      </w:r>
      <w:r>
        <w:t xml:space="preserve"> количественным показателем, позволяющим сравнивать варианты организации движения. При этом для режима перенасыщения важно не ограничиваться одной классификацией LOS: дв</w:t>
      </w:r>
      <w:r>
        <w:t>а варианта, оба относящиеся к уровню F, могут иметь существенно различающиеся величины очереди, задержки и времени восстановления после пикового периода.</w:t>
      </w:r>
    </w:p>
    <w:p w14:paraId="64F6249A" w14:textId="77777777" w:rsidR="00550782" w:rsidRDefault="005F4250">
      <w:pPr>
        <w:ind w:firstLine="709"/>
        <w:jc w:val="both"/>
      </w:pPr>
      <w:r>
        <w:t>Задержка имеет также экономическое и экологическое значение. Потери времени могут переводиться в денеж</w:t>
      </w:r>
      <w:r>
        <w:t xml:space="preserve">ную оценку при технико-экономическом сравнении вариантов, а частые остановки и последующие разгоны сопровождаются дополнительным расходом топлива и выбросами. Следовательно, более точная оценка задержки влияет не только на транспортные показатели, но и на </w:t>
      </w:r>
      <w:r>
        <w:t>комплексную оценку городских транспортных решений.</w:t>
      </w:r>
    </w:p>
    <w:p w14:paraId="51E719C3" w14:textId="77777777" w:rsidR="00550782" w:rsidRDefault="005F4250">
      <w:pPr>
        <w:ind w:firstLine="709"/>
        <w:jc w:val="both"/>
      </w:pPr>
      <w:r>
        <w:t>Для координированных светофорных объектов особое значение имеет распределение прибывающего потока относительно зелёного сигнала. При благоприятной координации часть автомобилей подходит к перекрёстку в сос</w:t>
      </w:r>
      <w:r>
        <w:t>таве «зелёной волны», что снижает равномерную составляющую задержки. Поэтому в современных моделях задержки отдельно учитывается фактор координации или прогрессии. В дальнейшем этот фактор обозначается PF и включается в состав равномерной задержки.</w:t>
      </w:r>
    </w:p>
    <w:p w14:paraId="29D4244F" w14:textId="77777777" w:rsidR="00550782" w:rsidRDefault="005F4250">
      <w:pPr>
        <w:ind w:firstLine="709"/>
        <w:jc w:val="both"/>
      </w:pPr>
      <w:r>
        <w:lastRenderedPageBreak/>
        <w:t>Таким о</w:t>
      </w:r>
      <w:r>
        <w:t>бразом, задержка является интегральным показателем, чувствительным одновременно к параметрам цикла, длительности зелёного сигнала, интенсивности движения, пропускной способности, характеру прибытия и наличию переходящей очереди. В условиях X ≥ 1,0 последня</w:t>
      </w:r>
      <w:r>
        <w:t>я составляющая становится определяющей для достоверного описания динамики транспортного потока, что обосновывает переход к рассмотрению отечественных и зарубежных методов расчёта.</w:t>
      </w:r>
    </w:p>
    <w:p w14:paraId="4A81B5B4" w14:textId="7BAC75CE" w:rsidR="00550782" w:rsidRDefault="005F4250" w:rsidP="00816DA4">
      <w:pPr>
        <w:pStyle w:val="21"/>
        <w:spacing w:before="120" w:after="120"/>
        <w:ind w:firstLine="708"/>
      </w:pPr>
      <w:r>
        <w:t>1.2</w:t>
      </w:r>
      <w:r>
        <w:t xml:space="preserve"> Подходы российской нормативной и учебно-методической базы</w:t>
      </w:r>
    </w:p>
    <w:p w14:paraId="6D248D69" w14:textId="77777777" w:rsidR="00550782" w:rsidRDefault="005F4250">
      <w:pPr>
        <w:ind w:firstLine="709"/>
        <w:jc w:val="both"/>
      </w:pPr>
      <w:r>
        <w:t>Российский по</w:t>
      </w:r>
      <w:r>
        <w:t>дход к оценке работы регулируемых пересечений формируется несколькими группами документов. К первой относятся нормативные документы, устанавливающие требования к техническим средствам организации дорожного движения. В частности, ГОСТ Р 52289-2019 определяе</w:t>
      </w:r>
      <w:r>
        <w:t>т правила применения дорожных знаков, разметки и светофоров, но не является основным документом для расчёта средней задержки транспортных средств [3].</w:t>
      </w:r>
    </w:p>
    <w:p w14:paraId="2E51D8E0" w14:textId="77777777" w:rsidR="00550782" w:rsidRDefault="005F4250">
      <w:pPr>
        <w:ind w:firstLine="709"/>
        <w:jc w:val="both"/>
      </w:pPr>
      <w:r>
        <w:t>Ко второй группе относятся отраслевые методические документы. ОДМ 218.6.003-2011 содержит рекомендации по</w:t>
      </w:r>
      <w:r>
        <w:t xml:space="preserve"> проектированию светофорных объектов, включая вопросы определения параметров светофорного регулирования [4]. Для анализа организации движения на регулируемых пересечениях применяется также Методическое руководство «Организация дорожного движения на регулир</w:t>
      </w:r>
      <w:r>
        <w:t>уемых пересечениях», согласованное Минтрансом России в 2017 г. [5]. Именно методическое руководство представляет наибольший интерес для сопоставления с составной моделью, рассматриваемой в настоящей работе.</w:t>
      </w:r>
    </w:p>
    <w:p w14:paraId="14F9DA3A" w14:textId="77777777" w:rsidR="00550782" w:rsidRDefault="005F4250">
      <w:pPr>
        <w:ind w:firstLine="709"/>
        <w:jc w:val="both"/>
      </w:pPr>
      <w:r>
        <w:t>В рамках методического подхода средняя задержка р</w:t>
      </w:r>
      <w:r>
        <w:t xml:space="preserve">егулирования представляется как сумма базовой, или равномерной, составляющей и дополнительной составляющей, связанной со случайностью прибытия и </w:t>
      </w:r>
      <w:r>
        <w:lastRenderedPageBreak/>
        <w:t>возникновением перегрузки. В обобщённом виде структура расчёта может быть записана следующим образом:</w:t>
      </w:r>
    </w:p>
    <w:p w14:paraId="5035962C" w14:textId="77777777" w:rsidR="00550782" w:rsidRDefault="005F4250">
      <w:pPr>
        <w:spacing w:before="120" w:after="120" w:line="240" w:lineRule="auto"/>
        <w:jc w:val="center"/>
      </w:pPr>
      <w:r>
        <w:t xml:space="preserve">d = d₁ · </w:t>
      </w:r>
      <w:r>
        <w:t>Kпр + d₂   (1.2)</w:t>
      </w:r>
    </w:p>
    <w:p w14:paraId="32CEEB2E" w14:textId="24E79E13" w:rsidR="00550782" w:rsidRDefault="005F4250">
      <w:pPr>
        <w:ind w:firstLine="709"/>
        <w:jc w:val="both"/>
      </w:pPr>
      <w:r>
        <w:t xml:space="preserve">где d </w:t>
      </w:r>
      <w:r w:rsidR="00B45AC4">
        <w:t>–</w:t>
      </w:r>
      <w:r>
        <w:t xml:space="preserve"> средняя задержка регулирования, с/прив. ед.; d₁ </w:t>
      </w:r>
      <w:r w:rsidR="00B45AC4">
        <w:t>–</w:t>
      </w:r>
      <w:r>
        <w:t xml:space="preserve"> равномерная составляющая; Kпр </w:t>
      </w:r>
      <w:r w:rsidR="00B45AC4">
        <w:t>–</w:t>
      </w:r>
      <w:r>
        <w:t xml:space="preserve"> коэффициент прогрессии, учитывающий характер прибытия и координацию; d₂ </w:t>
      </w:r>
      <w:r w:rsidR="00B45AC4">
        <w:t>–</w:t>
      </w:r>
      <w:r>
        <w:t xml:space="preserve"> дополнительная составляющая задержки.</w:t>
      </w:r>
    </w:p>
    <w:p w14:paraId="47210B58" w14:textId="77777777" w:rsidR="00550782" w:rsidRDefault="005F4250">
      <w:pPr>
        <w:ind w:firstLine="709"/>
        <w:jc w:val="both"/>
      </w:pPr>
      <w:r>
        <w:t>Равномерная составляющая рассчитывает</w:t>
      </w:r>
      <w:r>
        <w:t>ся с использованием длительности цикла, эффективного зелёного времени и степени насыщения. В используемой методической схеме степень насыщения при определении d₁ ограничивается единицей:</w:t>
      </w:r>
    </w:p>
    <w:p w14:paraId="59BCFB52" w14:textId="77777777" w:rsidR="00550782" w:rsidRPr="00B45AC4" w:rsidRDefault="005F4250">
      <w:pPr>
        <w:spacing w:before="120" w:after="120" w:line="240" w:lineRule="auto"/>
        <w:jc w:val="center"/>
        <w:rPr>
          <w:lang w:val="en-US"/>
        </w:rPr>
      </w:pPr>
      <w:r w:rsidRPr="00B45AC4">
        <w:rPr>
          <w:lang w:val="en-US"/>
        </w:rPr>
        <w:t>d₁ = 0,5 · C · (1 − g/C)² / [1 − min(1; X) · g/C]   (1.3)</w:t>
      </w:r>
    </w:p>
    <w:p w14:paraId="42025626" w14:textId="6AC853B7" w:rsidR="00550782" w:rsidRDefault="005F4250">
      <w:pPr>
        <w:ind w:firstLine="709"/>
        <w:jc w:val="both"/>
      </w:pPr>
      <w:r>
        <w:t xml:space="preserve">где C </w:t>
      </w:r>
      <w:r w:rsidR="00B45AC4">
        <w:t>–</w:t>
      </w:r>
      <w:r>
        <w:t xml:space="preserve"> дли</w:t>
      </w:r>
      <w:r>
        <w:t xml:space="preserve">тельность цикла, с; g </w:t>
      </w:r>
      <w:r w:rsidR="00B45AC4">
        <w:t>–</w:t>
      </w:r>
      <w:r>
        <w:t xml:space="preserve"> эффективная длительность зелёного сигнала, с; X </w:t>
      </w:r>
      <w:r w:rsidR="00B45AC4">
        <w:t>–</w:t>
      </w:r>
      <w:r>
        <w:t xml:space="preserve"> степень насыщения. Ограничение min(1; X) имеет принципиальное значение: при X &gt; 1 рост перегрузочной части не переносится непосредственно в d₁, а учитывается дополнительной составляю</w:t>
      </w:r>
      <w:r>
        <w:t>щей.</w:t>
      </w:r>
    </w:p>
    <w:p w14:paraId="6EAFD614" w14:textId="77777777" w:rsidR="00550782" w:rsidRDefault="005F4250">
      <w:pPr>
        <w:ind w:firstLine="709"/>
        <w:jc w:val="both"/>
      </w:pPr>
      <w:r>
        <w:t>Дополнительная составляющая зависит от длительности расчётного периода T, степени насыщения X, пропускной способности c и параметров, учитывающих особенности регулирования и взаимодействие с предыдущим пересечением. В используемом в работе виде она мо</w:t>
      </w:r>
      <w:r>
        <w:t>жет быть представлена как:</w:t>
      </w:r>
    </w:p>
    <w:p w14:paraId="6AB4BB25" w14:textId="77777777" w:rsidR="00550782" w:rsidRDefault="005F4250">
      <w:pPr>
        <w:spacing w:before="120" w:after="120" w:line="240" w:lineRule="auto"/>
        <w:jc w:val="center"/>
      </w:pPr>
      <w:r>
        <w:t>d₂ = 900 · T · [(X − 1) + √((X − 1)² + 8 · k · I · X/(c · T))]   (1.4)</w:t>
      </w:r>
    </w:p>
    <w:p w14:paraId="327C5A47" w14:textId="7182EC84" w:rsidR="00550782" w:rsidRDefault="005F4250">
      <w:pPr>
        <w:ind w:firstLine="709"/>
        <w:jc w:val="both"/>
      </w:pPr>
      <w:r>
        <w:t xml:space="preserve">Здесь T </w:t>
      </w:r>
      <w:r w:rsidR="00B45AC4">
        <w:t>–</w:t>
      </w:r>
      <w:r>
        <w:t xml:space="preserve"> длительность расчётного периода, ч; c </w:t>
      </w:r>
      <w:r w:rsidR="00B45AC4">
        <w:t>–</w:t>
      </w:r>
      <w:r>
        <w:t xml:space="preserve"> пропускная способность группы полос, прив. ед./ч; k </w:t>
      </w:r>
      <w:r w:rsidR="00B45AC4">
        <w:t>–</w:t>
      </w:r>
      <w:r>
        <w:t xml:space="preserve"> параметр, связанный с характером регулирования и случа</w:t>
      </w:r>
      <w:r>
        <w:t xml:space="preserve">йностью процесса; I </w:t>
      </w:r>
      <w:r w:rsidR="00B45AC4">
        <w:t>–</w:t>
      </w:r>
      <w:r>
        <w:t xml:space="preserve"> коэффициент, учитывающий влияние предыдущего пересечения и условия формирования потока. Наличие члена (X − 1) позволяет модели учитывать рост задержки при X &gt; 1, то есть в режиме перегрузки.</w:t>
      </w:r>
    </w:p>
    <w:p w14:paraId="67A0157B" w14:textId="77777777" w:rsidR="00550782" w:rsidRDefault="005F4250">
      <w:pPr>
        <w:ind w:firstLine="709"/>
        <w:jc w:val="both"/>
      </w:pPr>
      <w:r>
        <w:lastRenderedPageBreak/>
        <w:t>Важной частью отечественного подхода являет</w:t>
      </w:r>
      <w:r>
        <w:t xml:space="preserve">ся расчёт коэффициента прогрессии. Его назначение состоит в учёте того, какая доля транспортных средств прибывает к перекрёстку в благоприятной части цикла. Поэтому один и тот же цикл при разных типах прибытия может приводить к различной средней задержке. </w:t>
      </w:r>
      <w:r>
        <w:t>Для координированных объектов этот фактор особенно важен, поскольку изменение сдвига между соседними светофорными объектами непосредственно изменяет структуру прибывающих групп.</w:t>
      </w:r>
    </w:p>
    <w:p w14:paraId="0364F8AA" w14:textId="77777777" w:rsidR="00550782" w:rsidRDefault="005F4250">
      <w:pPr>
        <w:ind w:firstLine="709"/>
        <w:jc w:val="both"/>
      </w:pPr>
      <w:r>
        <w:t>Методическое руководство предусматривает также расчёт потока насыщения с учёто</w:t>
      </w:r>
      <w:r>
        <w:t>м геометрических и организационных факторов, определение пропускной способности группы полос, выбор параметров светофорного цикла и оценку очереди. Таким образом, задержка рассматривается не изолированно, а как результат последовательного расчёта характери</w:t>
      </w:r>
      <w:r>
        <w:t>стик движения и регулирования [5].</w:t>
      </w:r>
    </w:p>
    <w:p w14:paraId="53A4313A" w14:textId="77777777" w:rsidR="00550782" w:rsidRDefault="005F4250">
      <w:pPr>
        <w:ind w:firstLine="709"/>
        <w:jc w:val="both"/>
      </w:pPr>
      <w:r>
        <w:t>Вместе с тем при использовании отечественной методики в качестве основы для исследования устойчивого перенасыщения необходимо учитывать ряд ограничений. Во-первых, расчёт дополнительной задержки привязан к заданному расчё</w:t>
      </w:r>
      <w:r>
        <w:t>тному периоду, тогда как при длительной перегрузке состояние очереди в начале периода может существенно отличаться от нулевого. Во-вторых, накопление очереди из одного периода в другой не выделяется в самостоятельную составляющую, сопоставимую с d₃ в совре</w:t>
      </w:r>
      <w:r>
        <w:t>менных моделях HCM. В-третьих, результаты чувствительны к принятым значениям потока насыщения, коэффициентов регулирования и характеристик прибытия, поэтому для конкретного городского объекта целесообразна проверка и калибровка исходных параметров.</w:t>
      </w:r>
    </w:p>
    <w:p w14:paraId="5D0162FF" w14:textId="77777777" w:rsidR="00550782" w:rsidRDefault="005F4250">
      <w:pPr>
        <w:ind w:firstLine="709"/>
        <w:jc w:val="both"/>
      </w:pPr>
      <w:r>
        <w:t>Отдельн</w:t>
      </w:r>
      <w:r>
        <w:t>ого внимания заслуживает вопрос взаимодействия соседних перекрёстков. При координированном регулировании изменение режима одного объекта меняет профиль прибытия к следующему, а при возникновении длинной очереди возможна блокировка смежных участков. Поэтому</w:t>
      </w:r>
      <w:r>
        <w:t xml:space="preserve"> расчёт отдельного перекрёстка не всегда способен описать сетевой </w:t>
      </w:r>
      <w:r>
        <w:lastRenderedPageBreak/>
        <w:t>эффект перенасыщения. Этот аспект в дальнейшем будет учитываться при постановке имитационных сценариев.</w:t>
      </w:r>
    </w:p>
    <w:p w14:paraId="193FC42E" w14:textId="77777777" w:rsidR="00550782" w:rsidRDefault="005F4250">
      <w:pPr>
        <w:ind w:firstLine="709"/>
        <w:jc w:val="both"/>
      </w:pPr>
      <w:r>
        <w:t xml:space="preserve">Учебная и научная литература по организации движения традиционно уделяет значительное </w:t>
      </w:r>
      <w:r>
        <w:t>внимание формулам Вебстера и расчёту параметров фиксированного светофорного регулирования. Подход Вебстера остаётся важной теоретической основой для анализа недонасыщенных режимов и выбора параметров цикла, однако его исходная формула предполагает установи</w:t>
      </w:r>
      <w:r>
        <w:t>вшийся режим и не предназначена для прямого описания длительной перегрузки. Поэтому в настоящей работе она рассматривается как историческая и методическая база, а не как конечная модель для X ≥ 1,0.</w:t>
      </w:r>
    </w:p>
    <w:p w14:paraId="3E55CFA2" w14:textId="77777777" w:rsidR="00550782" w:rsidRDefault="005F4250">
      <w:pPr>
        <w:ind w:firstLine="709"/>
        <w:jc w:val="both"/>
      </w:pPr>
      <w:r>
        <w:t>Таким образом, российская методическая база предоставляет</w:t>
      </w:r>
      <w:r>
        <w:t xml:space="preserve"> необходимый аппарат для расчёта пропускной способности, параметров регулирования и задержки, однако для исследования устойчивой перегрузки целесообразно дополнить её многопериодным учётом состояния очереди. Это является непосредственным переходом к рассмо</w:t>
      </w:r>
      <w:r>
        <w:t>трению современных зарубежных подходов.</w:t>
      </w:r>
    </w:p>
    <w:p w14:paraId="7D0B5928" w14:textId="61934781" w:rsidR="00550782" w:rsidRDefault="005F4250" w:rsidP="008A6DB7">
      <w:pPr>
        <w:pStyle w:val="21"/>
        <w:spacing w:before="120" w:after="120"/>
        <w:ind w:firstLine="708"/>
      </w:pPr>
      <w:r>
        <w:t>1.3</w:t>
      </w:r>
      <w:r>
        <w:t xml:space="preserve"> Зарубежные подходы: HCM 2016/2022 и модель Akçelik</w:t>
      </w:r>
    </w:p>
    <w:p w14:paraId="37685588" w14:textId="77777777" w:rsidR="00550782" w:rsidRDefault="005F4250">
      <w:pPr>
        <w:ind w:firstLine="709"/>
        <w:jc w:val="both"/>
      </w:pPr>
      <w:r>
        <w:t>Зарубежные методы оценки задержки развивались от стационарных формул для недонасыщенного движения к моделям, способным описывать переходные и перенасыщенные сос</w:t>
      </w:r>
      <w:r>
        <w:t>тояния. Важной исторической основой является работа F. V. Webster, в которой задержка на сигнализируемом пересечении оценивалась с учётом равномерной и случайной составляющих и эмпирической поправки [6]. Формула Вебстера оказала существенное влияние на пос</w:t>
      </w:r>
      <w:r>
        <w:t>ледующее развитие методов расчёта, однако при приближении степени насыщения к единице её стационарная форма становится непригодной для описания устойчивого X ≥ 1,0, поскольку основана на предположении об установившемся состоянии очереди.</w:t>
      </w:r>
    </w:p>
    <w:p w14:paraId="38A621F1" w14:textId="77777777" w:rsidR="00550782" w:rsidRDefault="005F4250">
      <w:pPr>
        <w:ind w:firstLine="709"/>
        <w:jc w:val="both"/>
      </w:pPr>
      <w:r>
        <w:lastRenderedPageBreak/>
        <w:t>Дальнейшее развитие получили времязависимые модели, в которых перегрузочная составляющая связывается не только со степенью насыщения, но и с продолжительностью расчётного периода. Существенный вклад в развитие таких моделей внес Р. Акчелик. В его работах р</w:t>
      </w:r>
      <w:r>
        <w:t>ассматривается обобщённая двухкомпонентная структура задержки, включающая равномерную и перегрузочную части, с параметрами, позволяющими согласовать модель с различными условиями прибытия и обслуживания [7, 8].</w:t>
      </w:r>
    </w:p>
    <w:p w14:paraId="0A468F27" w14:textId="77777777" w:rsidR="008A6DB7" w:rsidRDefault="008A6DB7">
      <w:pPr>
        <w:ind w:firstLine="709"/>
        <w:jc w:val="both"/>
        <w:rPr>
          <w:rFonts w:cs="Times New Roman"/>
          <w:b/>
          <w:bCs/>
          <w:szCs w:val="27"/>
          <w:lang w:eastAsia="ru-RU"/>
        </w:rPr>
      </w:pPr>
      <w:r w:rsidRPr="008A6DB7">
        <w:rPr>
          <w:rFonts w:cs="Times New Roman"/>
          <w:b/>
          <w:bCs/>
          <w:szCs w:val="27"/>
          <w:lang w:eastAsia="ru-RU"/>
        </w:rPr>
        <w:t>Подход Highway Capacity Manual</w:t>
      </w:r>
    </w:p>
    <w:p w14:paraId="7E03AD07" w14:textId="7CE57857" w:rsidR="00550782" w:rsidRDefault="005F4250">
      <w:pPr>
        <w:ind w:firstLine="709"/>
        <w:jc w:val="both"/>
      </w:pPr>
      <w:r>
        <w:t>HCM 6-го издан</w:t>
      </w:r>
      <w:r>
        <w:t>ия, опубликованное Transportation Research Board в 2016 г., рассматривает анализ качества транспортного обслуживания как совокупность методов оценки пропускной способности и эксплуатационных показателей различных элементов транспортной системы [1]. В 7-м и</w:t>
      </w:r>
      <w:r>
        <w:t>здании HCM, опубликованном в 2022 г., методология была актуализирована и расширена, при этом для сигнализируемых пересечений сохранилась составная структура расчёта control delay [2].</w:t>
      </w:r>
    </w:p>
    <w:p w14:paraId="6E11D03D" w14:textId="77777777" w:rsidR="00550782" w:rsidRDefault="005F4250">
      <w:pPr>
        <w:ind w:firstLine="709"/>
        <w:jc w:val="both"/>
      </w:pPr>
      <w:r>
        <w:t>Для группы полос на регулируемом пересечении средняя задержка от управле</w:t>
      </w:r>
      <w:r>
        <w:t>ния в HCM представляется как сумма трёх составляющих:</w:t>
      </w:r>
    </w:p>
    <w:p w14:paraId="3C6EA72D" w14:textId="77777777" w:rsidR="00550782" w:rsidRDefault="005F4250">
      <w:pPr>
        <w:spacing w:before="120" w:after="120" w:line="240" w:lineRule="auto"/>
        <w:jc w:val="center"/>
      </w:pPr>
      <w:r>
        <w:t>d = d₁ · PF + d₂ + d₃   (1.5)</w:t>
      </w:r>
    </w:p>
    <w:p w14:paraId="7C103C4A" w14:textId="4494E794" w:rsidR="00550782" w:rsidRDefault="005F4250">
      <w:pPr>
        <w:ind w:firstLine="709"/>
        <w:jc w:val="both"/>
      </w:pPr>
      <w:r>
        <w:t xml:space="preserve">где d₁ </w:t>
      </w:r>
      <w:r w:rsidR="00B45AC4">
        <w:t>–</w:t>
      </w:r>
      <w:r>
        <w:t xml:space="preserve"> равномерная задержка; PF </w:t>
      </w:r>
      <w:r w:rsidR="00B45AC4">
        <w:t>–</w:t>
      </w:r>
      <w:r>
        <w:t xml:space="preserve"> фактор прогрессии, учитывающий влияние координации и характера прибытия; d₂ </w:t>
      </w:r>
      <w:r w:rsidR="00B45AC4">
        <w:t>–</w:t>
      </w:r>
      <w:r>
        <w:t xml:space="preserve"> дополнительная (incremental) задержка, обусловленная случа</w:t>
      </w:r>
      <w:r>
        <w:t xml:space="preserve">йными колебаниями прибытия и перегрузкой; d₃ </w:t>
      </w:r>
      <w:r w:rsidR="00B45AC4">
        <w:t>–</w:t>
      </w:r>
      <w:r>
        <w:t xml:space="preserve"> задержка от начальной очереди, то есть очереди, существовавшей в начале рассматриваемого периода [1, 2].</w:t>
      </w:r>
    </w:p>
    <w:p w14:paraId="15E5E603" w14:textId="77777777" w:rsidR="00550782" w:rsidRDefault="005F4250">
      <w:pPr>
        <w:ind w:firstLine="709"/>
        <w:jc w:val="both"/>
      </w:pPr>
      <w:r>
        <w:t>Равномерная составляющая определяется параметрами цикла и зелёного сигнала. Важная особенность состоит в</w:t>
      </w:r>
      <w:r>
        <w:t xml:space="preserve"> ограничении степени насыщения единицей:</w:t>
      </w:r>
    </w:p>
    <w:p w14:paraId="2FB5AFC6" w14:textId="77777777" w:rsidR="00550782" w:rsidRDefault="005F4250">
      <w:pPr>
        <w:spacing w:before="120" w:after="120" w:line="240" w:lineRule="auto"/>
        <w:jc w:val="center"/>
      </w:pPr>
      <w:r>
        <w:t>d₁ = 0,5 · C · (1 − g/C)² / [1 − min(1; X) · g/C]   (1.6)</w:t>
      </w:r>
    </w:p>
    <w:p w14:paraId="6824F89F" w14:textId="77777777" w:rsidR="00550782" w:rsidRDefault="005F4250">
      <w:pPr>
        <w:ind w:firstLine="709"/>
        <w:jc w:val="both"/>
      </w:pPr>
      <w:r>
        <w:lastRenderedPageBreak/>
        <w:t>Такое ограничение не означает, что при X &gt; 1 перегрузка игнорируется. Напротив, превышение спросом пропускной способности переносится в дополнительные состав</w:t>
      </w:r>
      <w:r>
        <w:t>ляющие d₂ и d₃. Поэтому d₁ характеризует условно равномерную часть потерь, а динамика очереди отражается в остальных слагаемых.</w:t>
      </w:r>
    </w:p>
    <w:p w14:paraId="6D62E6B7" w14:textId="77777777" w:rsidR="00550782" w:rsidRDefault="005F4250">
      <w:pPr>
        <w:ind w:firstLine="709"/>
        <w:jc w:val="both"/>
      </w:pPr>
      <w:r>
        <w:t>Дополнительная задержка d₂ зависит от продолжительности расчётного периода. В общем виде HCM использует выражение вида:</w:t>
      </w:r>
    </w:p>
    <w:p w14:paraId="0639FD75" w14:textId="77777777" w:rsidR="00550782" w:rsidRDefault="005F4250">
      <w:pPr>
        <w:spacing w:before="120" w:after="120" w:line="240" w:lineRule="auto"/>
        <w:jc w:val="center"/>
      </w:pPr>
      <w:r>
        <w:t>d₂ = 900</w:t>
      </w:r>
      <w:r>
        <w:t xml:space="preserve"> · T · [(X − 1) + √((X − 1)² + 8 · k · I · X/(c · T))]   (1.7)</w:t>
      </w:r>
    </w:p>
    <w:p w14:paraId="79BD3875" w14:textId="77777777" w:rsidR="00550782" w:rsidRDefault="005F4250">
      <w:pPr>
        <w:ind w:firstLine="709"/>
        <w:jc w:val="both"/>
      </w:pPr>
      <w:r>
        <w:t>В этой зависимости длительность периода T имеет принципиальное значение. При одинаковом X увеличение времени, в течение которого спрос превышает пропускную способность, приводит к увеличению пе</w:t>
      </w:r>
      <w:r>
        <w:t>регрузочной задержки. Следовательно, модель позволяет отличить кратковременное превышение пропускной способности от устойчивой перегрузки.</w:t>
      </w:r>
    </w:p>
    <w:p w14:paraId="6B2BE13A" w14:textId="77777777" w:rsidR="00550782" w:rsidRDefault="005F4250">
      <w:pPr>
        <w:ind w:firstLine="709"/>
        <w:jc w:val="both"/>
      </w:pPr>
      <w:r>
        <w:t xml:space="preserve">Третья составляющая d₃ предназначена для учёта начальной, или переходящей, очереди. Если к началу расчётного периода </w:t>
      </w:r>
      <w:r>
        <w:t>на подходе уже находится очередь Qb, то часть транспортных средств сначала должна обслужить накопленный спрос предыдущего периода. Поэтому текущая задержка зависит от состояния системы в начальный момент, а не только от интенсивности и параметров сигнала в</w:t>
      </w:r>
      <w:r>
        <w:t>нутри текущего интервала. Именно эта особенность имеет наибольшее значение для многопериодного анализа устойчивого перенасыщения.</w:t>
      </w:r>
    </w:p>
    <w:p w14:paraId="0D6C70AC" w14:textId="77777777" w:rsidR="00550782" w:rsidRDefault="005F4250">
      <w:pPr>
        <w:ind w:firstLine="709"/>
        <w:jc w:val="both"/>
      </w:pPr>
      <w:r>
        <w:t>При последовательном анализе нескольких 15-минутных или иных расчётных интервалов состояние очереди, сформированное в одном ин</w:t>
      </w:r>
      <w:r>
        <w:t>тервале, становится начальным условием для следующего. Такой подход позволяет моделировать накопление очереди в период пика и её последующее рассасывание. Для задачи настоящей работы это является ключевым преимуществом перед одноинтервальными формулами.</w:t>
      </w:r>
    </w:p>
    <w:p w14:paraId="5BE6950F" w14:textId="77777777" w:rsidR="008A6DB7" w:rsidRDefault="008A6DB7">
      <w:pPr>
        <w:ind w:firstLine="709"/>
        <w:jc w:val="both"/>
        <w:rPr>
          <w:rFonts w:cs="Times New Roman"/>
          <w:b/>
          <w:bCs/>
          <w:szCs w:val="27"/>
          <w:lang w:eastAsia="ru-RU"/>
        </w:rPr>
      </w:pPr>
      <w:r w:rsidRPr="008A6DB7">
        <w:rPr>
          <w:rFonts w:cs="Times New Roman"/>
          <w:b/>
          <w:bCs/>
          <w:szCs w:val="27"/>
          <w:lang w:eastAsia="ru-RU"/>
        </w:rPr>
        <w:t>Подход Akçelik / SIDRA</w:t>
      </w:r>
    </w:p>
    <w:p w14:paraId="5A6AEC35" w14:textId="43883859" w:rsidR="00550782" w:rsidRDefault="005F4250">
      <w:pPr>
        <w:ind w:firstLine="709"/>
        <w:jc w:val="both"/>
      </w:pPr>
      <w:r>
        <w:lastRenderedPageBreak/>
        <w:t>Модель Р. Акчелика получила развитие в исследованиях ARRB и реализована, в частности, в программном комплексе SIDRA Intersection. В отличие от простого использования стационарной формулы Вебстера, времязависимый подход Акчелика непосре</w:t>
      </w:r>
      <w:r>
        <w:t>дственно ориентирован на описание задержки при изменении степени насыщения во времени. В работах Акчелика также рассматриваются связь задержки с очередью, влияние случайности прибытия и калибровочные параметры [7, 8].</w:t>
      </w:r>
    </w:p>
    <w:p w14:paraId="52F48358" w14:textId="77777777" w:rsidR="00550782" w:rsidRDefault="005F4250">
      <w:pPr>
        <w:ind w:firstLine="709"/>
        <w:jc w:val="both"/>
      </w:pPr>
      <w:r>
        <w:t>Существенной особенностью подхода явля</w:t>
      </w:r>
      <w:r>
        <w:t>ется возможность описывать переход от недонасыщенного состояния к перегруженному без математического разрыва в точке X = 1. Вместо предположения о бесконечно возрастающей установившейся задержке используется временной период, в течение которого формируется</w:t>
      </w:r>
      <w:r>
        <w:t xml:space="preserve"> и рассасывается очередь. Поэтому модель подходит для практических расчётов, где пиковая перегрузка имеет конечную продолжительность.</w:t>
      </w:r>
    </w:p>
    <w:p w14:paraId="095FBBDC" w14:textId="77777777" w:rsidR="00550782" w:rsidRDefault="005F4250">
      <w:pPr>
        <w:ind w:firstLine="709"/>
        <w:jc w:val="both"/>
      </w:pPr>
      <w:r>
        <w:t>При сравнении HCM и Akçelik следует учитывать, что это не две полностью независимые концепции. Исследования Акчелика оказа</w:t>
      </w:r>
      <w:r>
        <w:t>ли непосредственное влияние на развитие формул задержки HCM, а отдельные элементы его моделей использовались при совершенствовании процедур HCM. Поэтому различия между методами следует искать прежде всего в конкретной формулировке задержки, параметрах кали</w:t>
      </w:r>
      <w:r>
        <w:t>бровки, способах учёта очереди и реализации многопериодного анализа, а не в принципиально разных физических представлениях транспортного процесса.</w:t>
      </w:r>
    </w:p>
    <w:p w14:paraId="38B6A82F" w14:textId="77777777" w:rsidR="00550782" w:rsidRDefault="005F4250">
      <w:r>
        <w:br w:type="page"/>
      </w:r>
    </w:p>
    <w:p w14:paraId="525EF4EE" w14:textId="2DC56D03" w:rsidR="00550782" w:rsidRDefault="005F4250" w:rsidP="008A6DB7">
      <w:pPr>
        <w:rPr>
          <w:bCs/>
        </w:rPr>
      </w:pPr>
      <w:r w:rsidRPr="008A6DB7">
        <w:rPr>
          <w:bCs/>
        </w:rPr>
        <w:lastRenderedPageBreak/>
        <w:t xml:space="preserve">Таблица 1.1 </w:t>
      </w:r>
      <w:r w:rsidR="00B45AC4" w:rsidRPr="008A6DB7">
        <w:rPr>
          <w:bCs/>
        </w:rPr>
        <w:t>–</w:t>
      </w:r>
      <w:r w:rsidRPr="008A6DB7">
        <w:rPr>
          <w:bCs/>
        </w:rPr>
        <w:t xml:space="preserve"> Сравнение основных подходов к оценке задержки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A6DB7" w14:paraId="336DF3FC" w14:textId="77777777" w:rsidTr="00592DBC">
        <w:tc>
          <w:tcPr>
            <w:tcW w:w="1869" w:type="dxa"/>
            <w:vAlign w:val="center"/>
          </w:tcPr>
          <w:p w14:paraId="1AAA53E1" w14:textId="446FA4AC" w:rsidR="008A6DB7" w:rsidRDefault="008A6DB7" w:rsidP="008A6DB7">
            <w:pPr>
              <w:rPr>
                <w:bCs/>
              </w:rPr>
            </w:pPr>
            <w:r>
              <w:rPr>
                <w:b/>
                <w:sz w:val="20"/>
              </w:rPr>
              <w:t>Подход</w:t>
            </w:r>
          </w:p>
        </w:tc>
        <w:tc>
          <w:tcPr>
            <w:tcW w:w="1869" w:type="dxa"/>
            <w:vAlign w:val="center"/>
          </w:tcPr>
          <w:p w14:paraId="1360A1BA" w14:textId="0A0D220B" w:rsidR="008A6DB7" w:rsidRDefault="008A6DB7" w:rsidP="008A6DB7">
            <w:pPr>
              <w:rPr>
                <w:bCs/>
              </w:rPr>
            </w:pPr>
            <w:r>
              <w:rPr>
                <w:b/>
                <w:sz w:val="20"/>
              </w:rPr>
              <w:t>Основная область</w:t>
            </w:r>
          </w:p>
        </w:tc>
        <w:tc>
          <w:tcPr>
            <w:tcW w:w="1869" w:type="dxa"/>
            <w:vAlign w:val="center"/>
          </w:tcPr>
          <w:p w14:paraId="7D291EE1" w14:textId="34DFC561" w:rsidR="008A6DB7" w:rsidRDefault="008A6DB7" w:rsidP="008A6DB7">
            <w:pPr>
              <w:rPr>
                <w:bCs/>
              </w:rPr>
            </w:pPr>
            <w:r>
              <w:rPr>
                <w:b/>
                <w:sz w:val="20"/>
              </w:rPr>
              <w:t>Учёт X &gt; 1</w:t>
            </w:r>
          </w:p>
        </w:tc>
        <w:tc>
          <w:tcPr>
            <w:tcW w:w="1869" w:type="dxa"/>
            <w:vAlign w:val="center"/>
          </w:tcPr>
          <w:p w14:paraId="2D92946D" w14:textId="07A3FBB9" w:rsidR="008A6DB7" w:rsidRDefault="008A6DB7" w:rsidP="008A6DB7">
            <w:pPr>
              <w:rPr>
                <w:bCs/>
              </w:rPr>
            </w:pPr>
            <w:r>
              <w:rPr>
                <w:b/>
                <w:sz w:val="20"/>
              </w:rPr>
              <w:t>Переходящая очередь</w:t>
            </w:r>
          </w:p>
        </w:tc>
        <w:tc>
          <w:tcPr>
            <w:tcW w:w="1869" w:type="dxa"/>
            <w:vAlign w:val="center"/>
          </w:tcPr>
          <w:p w14:paraId="6B54E8A5" w14:textId="38FCA7BF" w:rsidR="008A6DB7" w:rsidRDefault="008A6DB7" w:rsidP="008A6DB7">
            <w:pPr>
              <w:rPr>
                <w:bCs/>
              </w:rPr>
            </w:pPr>
            <w:r>
              <w:rPr>
                <w:b/>
                <w:sz w:val="20"/>
              </w:rPr>
              <w:t>Ключевая особенность</w:t>
            </w:r>
          </w:p>
        </w:tc>
      </w:tr>
      <w:tr w:rsidR="008A6DB7" w14:paraId="5F02F67A" w14:textId="77777777" w:rsidTr="00592DBC">
        <w:tc>
          <w:tcPr>
            <w:tcW w:w="1869" w:type="dxa"/>
            <w:vAlign w:val="center"/>
          </w:tcPr>
          <w:p w14:paraId="1C35CFB5" w14:textId="4FBC256D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Вебстер</w:t>
            </w:r>
          </w:p>
        </w:tc>
        <w:tc>
          <w:tcPr>
            <w:tcW w:w="1869" w:type="dxa"/>
            <w:vAlign w:val="center"/>
          </w:tcPr>
          <w:p w14:paraId="576E1F54" w14:textId="7FF494AB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Преимущественно X &lt; 1</w:t>
            </w:r>
          </w:p>
        </w:tc>
        <w:tc>
          <w:tcPr>
            <w:tcW w:w="1869" w:type="dxa"/>
            <w:vAlign w:val="center"/>
          </w:tcPr>
          <w:p w14:paraId="36B4CBC8" w14:textId="64F86EA9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Ограниченно</w:t>
            </w:r>
          </w:p>
        </w:tc>
        <w:tc>
          <w:tcPr>
            <w:tcW w:w="1869" w:type="dxa"/>
            <w:vAlign w:val="center"/>
          </w:tcPr>
          <w:p w14:paraId="50FA9192" w14:textId="29BA440E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869" w:type="dxa"/>
            <w:vAlign w:val="center"/>
          </w:tcPr>
          <w:p w14:paraId="37AF66AE" w14:textId="69D18DD2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Стационарная оценка задержки и основы расчёта цикла</w:t>
            </w:r>
          </w:p>
        </w:tc>
      </w:tr>
      <w:tr w:rsidR="008A6DB7" w14:paraId="432DBD22" w14:textId="77777777" w:rsidTr="00592DBC">
        <w:tc>
          <w:tcPr>
            <w:tcW w:w="1869" w:type="dxa"/>
            <w:vAlign w:val="center"/>
          </w:tcPr>
          <w:p w14:paraId="0FB69B49" w14:textId="273AAF18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Российское методическое руководство</w:t>
            </w:r>
          </w:p>
        </w:tc>
        <w:tc>
          <w:tcPr>
            <w:tcW w:w="1869" w:type="dxa"/>
            <w:vAlign w:val="center"/>
          </w:tcPr>
          <w:p w14:paraId="6B7007C0" w14:textId="115C0496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Регулируемые пересечения</w:t>
            </w:r>
          </w:p>
        </w:tc>
        <w:tc>
          <w:tcPr>
            <w:tcW w:w="1869" w:type="dxa"/>
            <w:vAlign w:val="center"/>
          </w:tcPr>
          <w:p w14:paraId="43E62E7C" w14:textId="1228B24E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Да, через d₂</w:t>
            </w:r>
          </w:p>
        </w:tc>
        <w:tc>
          <w:tcPr>
            <w:tcW w:w="1869" w:type="dxa"/>
            <w:vAlign w:val="center"/>
          </w:tcPr>
          <w:p w14:paraId="70922DE0" w14:textId="3E4D1C93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Не выделяется как самостоятельная d₃</w:t>
            </w:r>
          </w:p>
        </w:tc>
        <w:tc>
          <w:tcPr>
            <w:tcW w:w="1869" w:type="dxa"/>
            <w:vAlign w:val="center"/>
          </w:tcPr>
          <w:p w14:paraId="32F6DA9E" w14:textId="2F4DFCC2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Связь задержки с пропускной способностью и регулированием</w:t>
            </w:r>
          </w:p>
        </w:tc>
      </w:tr>
      <w:tr w:rsidR="008A6DB7" w14:paraId="3AB3B73C" w14:textId="77777777" w:rsidTr="00592DBC">
        <w:tc>
          <w:tcPr>
            <w:tcW w:w="1869" w:type="dxa"/>
            <w:vAlign w:val="center"/>
          </w:tcPr>
          <w:p w14:paraId="4CBDA41B" w14:textId="5DE671A5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HCM 2016/2022</w:t>
            </w:r>
          </w:p>
        </w:tc>
        <w:tc>
          <w:tcPr>
            <w:tcW w:w="1869" w:type="dxa"/>
            <w:vAlign w:val="center"/>
          </w:tcPr>
          <w:p w14:paraId="224D8916" w14:textId="6CA2B89B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X &lt; 1 и X ≥ 1</w:t>
            </w:r>
          </w:p>
        </w:tc>
        <w:tc>
          <w:tcPr>
            <w:tcW w:w="1869" w:type="dxa"/>
            <w:vAlign w:val="center"/>
          </w:tcPr>
          <w:p w14:paraId="1390CC57" w14:textId="39910134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869" w:type="dxa"/>
            <w:vAlign w:val="center"/>
          </w:tcPr>
          <w:p w14:paraId="34FBD3B0" w14:textId="0AE7FB24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869" w:type="dxa"/>
            <w:vAlign w:val="center"/>
          </w:tcPr>
          <w:p w14:paraId="3BF4D59D" w14:textId="009A3FFE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Трёхкомпонентная структура d₁·PF + d₂ + d₃</w:t>
            </w:r>
          </w:p>
        </w:tc>
      </w:tr>
      <w:tr w:rsidR="008A6DB7" w14:paraId="455134F8" w14:textId="77777777" w:rsidTr="00592DBC">
        <w:tc>
          <w:tcPr>
            <w:tcW w:w="1869" w:type="dxa"/>
            <w:vAlign w:val="center"/>
          </w:tcPr>
          <w:p w14:paraId="1B89526A" w14:textId="38959152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Akçelik / SIDRA</w:t>
            </w:r>
          </w:p>
        </w:tc>
        <w:tc>
          <w:tcPr>
            <w:tcW w:w="1869" w:type="dxa"/>
            <w:vAlign w:val="center"/>
          </w:tcPr>
          <w:p w14:paraId="7E2B6945" w14:textId="5CF4CA69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Широкий диапазон X</w:t>
            </w:r>
          </w:p>
        </w:tc>
        <w:tc>
          <w:tcPr>
            <w:tcW w:w="1869" w:type="dxa"/>
            <w:vAlign w:val="center"/>
          </w:tcPr>
          <w:p w14:paraId="6272882E" w14:textId="3605F85C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869" w:type="dxa"/>
            <w:vAlign w:val="center"/>
          </w:tcPr>
          <w:p w14:paraId="5EDF4053" w14:textId="1E15AF93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Да, в рамках времязависимого анализа</w:t>
            </w:r>
          </w:p>
        </w:tc>
        <w:tc>
          <w:tcPr>
            <w:tcW w:w="1869" w:type="dxa"/>
            <w:vAlign w:val="center"/>
          </w:tcPr>
          <w:p w14:paraId="35B39468" w14:textId="40FD5F30" w:rsidR="008A6DB7" w:rsidRDefault="008A6DB7" w:rsidP="008A6DB7">
            <w:pPr>
              <w:rPr>
                <w:bCs/>
              </w:rPr>
            </w:pPr>
            <w:r>
              <w:rPr>
                <w:sz w:val="18"/>
              </w:rPr>
              <w:t>Задержка, очередь и калибровка параметров</w:t>
            </w:r>
          </w:p>
        </w:tc>
      </w:tr>
    </w:tbl>
    <w:p w14:paraId="7B07521C" w14:textId="77777777" w:rsidR="00550782" w:rsidRDefault="005F4250">
      <w:pPr>
        <w:ind w:firstLine="709"/>
        <w:jc w:val="both"/>
      </w:pPr>
      <w:r>
        <w:t>Сравнение показывает, что для целей настоящей работы наибольший интерес представляет сочетание трёх свойств: возможность расчёта при X ≥ 1,0, учёт продолжительности периода перегрузки и перенос очереди между последовательными периода</w:t>
      </w:r>
      <w:r>
        <w:t>ми. Эти требования непосредственно приводят к трёхкомпонентной структуре модели, выбранной в дальнейших главах.</w:t>
      </w:r>
    </w:p>
    <w:p w14:paraId="62E605E3" w14:textId="77777777" w:rsidR="00550782" w:rsidRDefault="005F4250">
      <w:pPr>
        <w:ind w:firstLine="709"/>
        <w:jc w:val="both"/>
      </w:pPr>
      <w:r>
        <w:t>При этом применение зарубежной методики к российским условиям не должно сводиться к механическому переносу коэффициентов. Поток насыщения, струк</w:t>
      </w:r>
      <w:r>
        <w:t>тура фаз, доля тяжёлых транспортных средств, характер прибытия и особенности координации могут существенно отличаться от условий, заложенных в типовых параметрах. Поэтому одним из этапов настоящей работы является последующая калибровка и проверка модели по</w:t>
      </w:r>
      <w:r>
        <w:t xml:space="preserve"> данным имитационного моделирования.</w:t>
      </w:r>
    </w:p>
    <w:p w14:paraId="2D7CD046" w14:textId="77777777" w:rsidR="00550782" w:rsidRDefault="005F4250">
      <w:pPr>
        <w:ind w:firstLine="709"/>
        <w:jc w:val="both"/>
      </w:pPr>
      <w:r>
        <w:t>Таким образом, анализ зарубежных подходов подтверждает целесообразность использования составной модели задержки d = d₁·PF + d₂ + d₃ в качестве основы расчётного аппарата. При этом d₁ характеризует базовую задержку текущ</w:t>
      </w:r>
      <w:r>
        <w:t xml:space="preserve">его цикла, PF отражает качество координации, d₂ описывает случайную и перегрузочную составляющую, а d₃ обеспечивает связь текущего </w:t>
      </w:r>
      <w:r>
        <w:lastRenderedPageBreak/>
        <w:t>периода с предшествующим состоянием очереди. Именно такая структура позволяет перейти от статической оценки к многопериодному</w:t>
      </w:r>
      <w:r>
        <w:t xml:space="preserve"> описанию перенасыщенного режима.</w:t>
      </w:r>
    </w:p>
    <w:p w14:paraId="284EDC1B" w14:textId="3646E7D6" w:rsidR="00550782" w:rsidRDefault="005F4250" w:rsidP="008A6DB7">
      <w:pPr>
        <w:pStyle w:val="21"/>
        <w:spacing w:before="120" w:after="120"/>
        <w:ind w:firstLine="708"/>
      </w:pPr>
      <w:r>
        <w:t>1.4</w:t>
      </w:r>
      <w:r w:rsidR="008A6DB7">
        <w:t xml:space="preserve"> </w:t>
      </w:r>
      <w:r>
        <w:t>Проблема перенасыщения (X ≥ 1) и границы применимости упрощённых формул</w:t>
      </w:r>
    </w:p>
    <w:p w14:paraId="745EC701" w14:textId="77777777" w:rsidR="00550782" w:rsidRDefault="005F4250">
      <w:pPr>
        <w:ind w:firstLine="709"/>
        <w:jc w:val="both"/>
      </w:pPr>
      <w:r>
        <w:t>Перенасыщение начинается при превышении спросом пропускной способности: X &gt; 1. В этом случае за расчётный период прибывает больше транспортных ср</w:t>
      </w:r>
      <w:r>
        <w:t>едств, чем может быть обслужено светофорным регулированием. Если превышение сохраняется несколько циклов, очередь накапливается и становится начальным условием для последующего периода. Поэтому точность расчёта задержки определяется уже не только параметра</w:t>
      </w:r>
      <w:r>
        <w:t>ми текущего цикла, но и длительностью перегрузки, величиной начальной очереди и возможностью её рассасывания.</w:t>
      </w:r>
    </w:p>
    <w:p w14:paraId="73057157" w14:textId="77777777" w:rsidR="00550782" w:rsidRDefault="005F4250">
      <w:pPr>
        <w:ind w:firstLine="709"/>
        <w:jc w:val="both"/>
      </w:pPr>
      <w:r>
        <w:t xml:space="preserve">Упрощённые стационарные формулы, основанные на предположении установившегося недонасыщенного режима, не должны непосредственно использоваться для </w:t>
      </w:r>
      <w:r>
        <w:t>X ≥ 1,0 без времязависимого дополнения. В противном случае возможно как существенное занижение, так и некорректная интерпретация задержки. Для практической задачи настоящей работы это означает необходимость многопериодного расчёта и проверки результатов по</w:t>
      </w:r>
      <w:r>
        <w:t xml:space="preserve"> имитационной модели.</w:t>
      </w:r>
    </w:p>
    <w:p w14:paraId="32D9F9BD" w14:textId="77777777" w:rsidR="00550782" w:rsidRDefault="005F4250">
      <w:pPr>
        <w:ind w:firstLine="709"/>
        <w:jc w:val="both"/>
      </w:pPr>
      <w:r>
        <w:t>В качестве рабочего критерия дальнейшего исследования принимается сравнение расчётной и имитационной задержки при последовательном изменении X, длительности пикового периода, параметров цикла и качества координации. Такой подход позво</w:t>
      </w:r>
      <w:r>
        <w:t>лит определить диапазоны, в которых трёхкомпонентная аналитическая модель обеспечивает приемлемое приближение к результатам микроимитации.</w:t>
      </w:r>
    </w:p>
    <w:p w14:paraId="6F4E871F" w14:textId="77777777" w:rsidR="00550782" w:rsidRDefault="005F4250" w:rsidP="008A6DB7">
      <w:pPr>
        <w:pStyle w:val="11"/>
        <w:spacing w:before="240" w:after="120"/>
        <w:ind w:firstLine="708"/>
      </w:pPr>
      <w:r>
        <w:lastRenderedPageBreak/>
        <w:t>Выводы по главе 1</w:t>
      </w:r>
    </w:p>
    <w:p w14:paraId="32A2AAB2" w14:textId="77777777" w:rsidR="00550782" w:rsidRDefault="005F4250">
      <w:pPr>
        <w:ind w:firstLine="709"/>
        <w:jc w:val="both"/>
      </w:pPr>
      <w:r>
        <w:t xml:space="preserve">Проведённый анализ показал, что задержка от управления является одним из основных </w:t>
      </w:r>
      <w:r>
        <w:t>количественных показателей качества работы регулируемого перекрёстка. Для недонасыщенного режима её величина в значительной степени определяется параметрами цикла, зелёного сигнала и характером прибытия, тогда как при X ≥ 1,0 определяющую роль начинает игр</w:t>
      </w:r>
      <w:r>
        <w:t>ать накопление и перенос очереди.</w:t>
      </w:r>
    </w:p>
    <w:p w14:paraId="257B4103" w14:textId="77777777" w:rsidR="00550782" w:rsidRDefault="005F4250">
      <w:pPr>
        <w:ind w:firstLine="709"/>
        <w:jc w:val="both"/>
      </w:pPr>
      <w:r>
        <w:t>Российская нормативная и методическая база содержит необходимый аппарат для расчёта пропускной способности, параметров светофорного регулирования и задержки, однако при исследовании длительного перенасыщения требуется допо</w:t>
      </w:r>
      <w:r>
        <w:t>лнительно учитывать состояние очереди между последовательными расчётными периодами. Зарубежные методы HCM и Akçelik предоставляют для этого более развитый времязависимый инструментарий.</w:t>
      </w:r>
    </w:p>
    <w:p w14:paraId="0479DB79" w14:textId="7142A9B1" w:rsidR="008A6DB7" w:rsidRDefault="005F4250">
      <w:pPr>
        <w:ind w:firstLine="709"/>
        <w:jc w:val="both"/>
      </w:pPr>
      <w:r>
        <w:t xml:space="preserve">В качестве основы дальнейшего исследования целесообразно использовать </w:t>
      </w:r>
      <w:r>
        <w:t xml:space="preserve">трёхкомпонентную структуру d = d₁·PF + d₂ + d₃, а её применимость оценивать по результатам программного расчёта и микроимитационного моделирования. Такое решение обеспечивает логическую связь между теоретическим анализом, разработкой программного модуля и </w:t>
      </w:r>
      <w:r>
        <w:t>последующей проверкой результатов.</w:t>
      </w:r>
      <w:r w:rsidR="008A6DB7">
        <w:br w:type="page"/>
      </w:r>
    </w:p>
    <w:p w14:paraId="51E55A18" w14:textId="77777777" w:rsidR="00550782" w:rsidRPr="00B45AC4" w:rsidRDefault="005F4250">
      <w:pPr>
        <w:pStyle w:val="11"/>
        <w:spacing w:before="240" w:after="120"/>
        <w:rPr>
          <w:lang w:val="en-US"/>
        </w:rPr>
      </w:pPr>
      <w:r>
        <w:lastRenderedPageBreak/>
        <w:t>Список</w:t>
      </w:r>
      <w:r w:rsidRPr="00B45AC4">
        <w:rPr>
          <w:lang w:val="en-US"/>
        </w:rPr>
        <w:t xml:space="preserve"> </w:t>
      </w:r>
      <w:r>
        <w:t>использованных</w:t>
      </w:r>
      <w:r w:rsidRPr="00B45AC4">
        <w:rPr>
          <w:lang w:val="en-US"/>
        </w:rPr>
        <w:t xml:space="preserve"> </w:t>
      </w:r>
      <w:r>
        <w:t>источников</w:t>
      </w:r>
    </w:p>
    <w:p w14:paraId="66BE19D7" w14:textId="77777777" w:rsidR="00550782" w:rsidRPr="00B45AC4" w:rsidRDefault="005F4250">
      <w:pPr>
        <w:jc w:val="both"/>
        <w:rPr>
          <w:lang w:val="en-US"/>
        </w:rPr>
      </w:pPr>
      <w:r w:rsidRPr="00B45AC4">
        <w:rPr>
          <w:lang w:val="en-US"/>
        </w:rPr>
        <w:t>1. Transportation Research Board. Highway Capacity Manual, 6th Edition: A Guide for Multimodal Mobility Analysis. Washington, DC: National Academies Press, 2016.</w:t>
      </w:r>
    </w:p>
    <w:p w14:paraId="25F2461E" w14:textId="77777777" w:rsidR="00550782" w:rsidRDefault="005F4250">
      <w:pPr>
        <w:jc w:val="both"/>
      </w:pPr>
      <w:r w:rsidRPr="00B45AC4">
        <w:rPr>
          <w:lang w:val="en-US"/>
        </w:rPr>
        <w:t>2. Transportation Research</w:t>
      </w:r>
      <w:r w:rsidRPr="00B45AC4">
        <w:rPr>
          <w:lang w:val="en-US"/>
        </w:rPr>
        <w:t xml:space="preserve"> Board. Highway Capacity Manual, 7th Edition: A Guide for Multimodal Mobility Analysis. </w:t>
      </w:r>
      <w:r>
        <w:t>Washington, DC: National Academies Press, 2022.</w:t>
      </w:r>
    </w:p>
    <w:p w14:paraId="5A78ADC9" w14:textId="77777777" w:rsidR="00550782" w:rsidRDefault="005F4250">
      <w:pPr>
        <w:jc w:val="both"/>
      </w:pPr>
      <w:r>
        <w:t>3. ГОСТ Р 52289-2019. Технические средства организации дорожного движения. Правила применения дорожных знаков, разметки,</w:t>
      </w:r>
      <w:r>
        <w:t xml:space="preserve"> светофоров, дорожных ограждений и направляющих устройств.</w:t>
      </w:r>
    </w:p>
    <w:p w14:paraId="62AFDD65" w14:textId="77777777" w:rsidR="00550782" w:rsidRDefault="005F4250">
      <w:pPr>
        <w:jc w:val="both"/>
      </w:pPr>
      <w:r>
        <w:t>4. ОДМ 218.6.003-2011. Методические рекомендации по проектированию светофорных объектов на автомобильных дорогах. М.: Росавтодор, 2013.</w:t>
      </w:r>
    </w:p>
    <w:p w14:paraId="0FCD62AE" w14:textId="77777777" w:rsidR="00550782" w:rsidRPr="00B45AC4" w:rsidRDefault="005F4250">
      <w:pPr>
        <w:jc w:val="both"/>
        <w:rPr>
          <w:lang w:val="en-US"/>
        </w:rPr>
      </w:pPr>
      <w:r>
        <w:t>5. Организация дорожного движения на регулируемых пересечения</w:t>
      </w:r>
      <w:r>
        <w:t>х: методическое руководство. Согласовано</w:t>
      </w:r>
      <w:r w:rsidRPr="00B45AC4">
        <w:rPr>
          <w:lang w:val="en-US"/>
        </w:rPr>
        <w:t xml:space="preserve"> </w:t>
      </w:r>
      <w:r>
        <w:t>Минтрансом</w:t>
      </w:r>
      <w:r w:rsidRPr="00B45AC4">
        <w:rPr>
          <w:lang w:val="en-US"/>
        </w:rPr>
        <w:t xml:space="preserve"> </w:t>
      </w:r>
      <w:r>
        <w:t>России</w:t>
      </w:r>
      <w:r w:rsidRPr="00B45AC4">
        <w:rPr>
          <w:lang w:val="en-US"/>
        </w:rPr>
        <w:t xml:space="preserve"> 2 </w:t>
      </w:r>
      <w:r>
        <w:t>июля</w:t>
      </w:r>
      <w:r w:rsidRPr="00B45AC4">
        <w:rPr>
          <w:lang w:val="en-US"/>
        </w:rPr>
        <w:t xml:space="preserve"> 2017 </w:t>
      </w:r>
      <w:r>
        <w:t>г</w:t>
      </w:r>
      <w:r w:rsidRPr="00B45AC4">
        <w:rPr>
          <w:lang w:val="en-US"/>
        </w:rPr>
        <w:t>.</w:t>
      </w:r>
    </w:p>
    <w:p w14:paraId="554F71C5" w14:textId="77777777" w:rsidR="00550782" w:rsidRPr="00B45AC4" w:rsidRDefault="005F4250">
      <w:pPr>
        <w:jc w:val="both"/>
        <w:rPr>
          <w:lang w:val="en-US"/>
        </w:rPr>
      </w:pPr>
      <w:r w:rsidRPr="00B45AC4">
        <w:rPr>
          <w:lang w:val="en-US"/>
        </w:rPr>
        <w:t>6. Webster F. V. Traffic Signal Settings. Road Research Technical Paper No. 39. London: Road Research Laboratory, HMSO, 1958.</w:t>
      </w:r>
    </w:p>
    <w:p w14:paraId="63CC741F" w14:textId="77777777" w:rsidR="00550782" w:rsidRPr="00B45AC4" w:rsidRDefault="005F4250">
      <w:pPr>
        <w:jc w:val="both"/>
        <w:rPr>
          <w:lang w:val="en-US"/>
        </w:rPr>
      </w:pPr>
      <w:r w:rsidRPr="00B45AC4">
        <w:rPr>
          <w:lang w:val="en-US"/>
        </w:rPr>
        <w:t xml:space="preserve">7. Akçelik R. Traffic Signals: Capacity and Timing </w:t>
      </w:r>
      <w:r w:rsidRPr="00B45AC4">
        <w:rPr>
          <w:lang w:val="en-US"/>
        </w:rPr>
        <w:t>Analysis. Research Report ARR No. 123. Vermont South: Australian Road Research Board, 1981.</w:t>
      </w:r>
    </w:p>
    <w:p w14:paraId="358FB622" w14:textId="77777777" w:rsidR="00550782" w:rsidRDefault="005F4250">
      <w:pPr>
        <w:jc w:val="both"/>
      </w:pPr>
      <w:r w:rsidRPr="00B45AC4">
        <w:rPr>
          <w:lang w:val="en-US"/>
        </w:rPr>
        <w:t xml:space="preserve">8. Akçelik R. The Highway Capacity Manual delay formula for signalized intersections. </w:t>
      </w:r>
      <w:r>
        <w:t>ITE Journal. 1988. Vol. 58, No. 3. P. 23–27.</w:t>
      </w:r>
    </w:p>
    <w:sectPr w:rsidR="00550782" w:rsidSect="00183C4F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6D45B" w14:textId="77777777" w:rsidR="005F4250" w:rsidRDefault="005F4250" w:rsidP="00183C4F">
      <w:pPr>
        <w:spacing w:after="0" w:line="240" w:lineRule="auto"/>
      </w:pPr>
      <w:r>
        <w:separator/>
      </w:r>
    </w:p>
  </w:endnote>
  <w:endnote w:type="continuationSeparator" w:id="0">
    <w:p w14:paraId="3B114FF4" w14:textId="77777777" w:rsidR="005F4250" w:rsidRDefault="005F4250" w:rsidP="00183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6244078"/>
      <w:docPartObj>
        <w:docPartGallery w:val="Page Numbers (Bottom of Page)"/>
        <w:docPartUnique/>
      </w:docPartObj>
    </w:sdtPr>
    <w:sdtEndPr/>
    <w:sdtContent>
      <w:p w14:paraId="51CB4920" w14:textId="77777777" w:rsidR="00183C4F" w:rsidRDefault="00183C4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C12E0F" w14:textId="77777777" w:rsidR="00183C4F" w:rsidRDefault="00183C4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D8C49" w14:textId="77777777" w:rsidR="005F4250" w:rsidRDefault="005F4250" w:rsidP="00183C4F">
      <w:pPr>
        <w:spacing w:after="0" w:line="240" w:lineRule="auto"/>
      </w:pPr>
      <w:r>
        <w:separator/>
      </w:r>
    </w:p>
  </w:footnote>
  <w:footnote w:type="continuationSeparator" w:id="0">
    <w:p w14:paraId="33C517B5" w14:textId="77777777" w:rsidR="005F4250" w:rsidRDefault="005F4250" w:rsidP="00183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A589F"/>
    <w:multiLevelType w:val="multilevel"/>
    <w:tmpl w:val="110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66864"/>
    <w:multiLevelType w:val="multilevel"/>
    <w:tmpl w:val="169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C7054"/>
    <w:multiLevelType w:val="multilevel"/>
    <w:tmpl w:val="507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A41F4"/>
    <w:multiLevelType w:val="multilevel"/>
    <w:tmpl w:val="F7B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C5767"/>
    <w:multiLevelType w:val="multilevel"/>
    <w:tmpl w:val="9808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543CD"/>
    <w:multiLevelType w:val="multilevel"/>
    <w:tmpl w:val="92D8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53"/>
    <w:rsid w:val="0003540F"/>
    <w:rsid w:val="00183C4F"/>
    <w:rsid w:val="00550782"/>
    <w:rsid w:val="005F0E85"/>
    <w:rsid w:val="005F4250"/>
    <w:rsid w:val="00816DA4"/>
    <w:rsid w:val="008A6DB7"/>
    <w:rsid w:val="009909D5"/>
    <w:rsid w:val="00A74F87"/>
    <w:rsid w:val="00AB6396"/>
    <w:rsid w:val="00B45AC4"/>
    <w:rsid w:val="00B91FE9"/>
    <w:rsid w:val="00BC501C"/>
    <w:rsid w:val="00C84A8A"/>
    <w:rsid w:val="00D97D53"/>
    <w:rsid w:val="00E721D4"/>
    <w:rsid w:val="00FD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1058"/>
  <w15:chartTrackingRefBased/>
  <w15:docId w15:val="{C3E55AFC-17B0-434B-AD6C-092AB050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03540F"/>
    <w:pPr>
      <w:keepNext/>
      <w:spacing w:before="100" w:beforeAutospacing="1" w:after="100" w:afterAutospacing="1"/>
      <w:outlineLvl w:val="2"/>
    </w:pPr>
    <w:rPr>
      <w:rFonts w:cs="Times New Roman"/>
      <w:b/>
      <w:bCs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F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354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540F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540F"/>
    <w:rPr>
      <w:b/>
      <w:bCs/>
    </w:rPr>
  </w:style>
  <w:style w:type="character" w:customStyle="1" w:styleId="apple-tab-span">
    <w:name w:val="apple-tab-span"/>
    <w:basedOn w:val="a0"/>
    <w:rsid w:val="00FD6A77"/>
  </w:style>
  <w:style w:type="paragraph" w:styleId="a5">
    <w:name w:val="List Paragraph"/>
    <w:basedOn w:val="a"/>
    <w:uiPriority w:val="34"/>
    <w:qFormat/>
    <w:rsid w:val="00183C4F"/>
    <w:pPr>
      <w:ind w:left="720"/>
      <w:contextualSpacing/>
    </w:pPr>
  </w:style>
  <w:style w:type="character" w:styleId="a6">
    <w:name w:val="Emphasis"/>
    <w:basedOn w:val="a0"/>
    <w:uiPriority w:val="20"/>
    <w:qFormat/>
    <w:rsid w:val="00183C4F"/>
    <w:rPr>
      <w:i/>
      <w:iCs/>
    </w:rPr>
  </w:style>
  <w:style w:type="paragraph" w:styleId="a7">
    <w:name w:val="header"/>
    <w:basedOn w:val="a"/>
    <w:link w:val="a8"/>
    <w:uiPriority w:val="99"/>
    <w:unhideWhenUsed/>
    <w:rsid w:val="00183C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83C4F"/>
  </w:style>
  <w:style w:type="paragraph" w:styleId="a9">
    <w:name w:val="footer"/>
    <w:basedOn w:val="a"/>
    <w:link w:val="aa"/>
    <w:uiPriority w:val="99"/>
    <w:unhideWhenUsed/>
    <w:rsid w:val="00183C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83C4F"/>
  </w:style>
  <w:style w:type="character" w:customStyle="1" w:styleId="40">
    <w:name w:val="Заголовок 4 Знак"/>
    <w:basedOn w:val="a0"/>
    <w:link w:val="4"/>
    <w:uiPriority w:val="9"/>
    <w:semiHidden/>
    <w:rsid w:val="00A74F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1">
    <w:name w:val="Заголовок 11"/>
    <w:basedOn w:val="a"/>
    <w:pPr>
      <w:keepNext/>
    </w:pPr>
    <w:rPr>
      <w:b/>
    </w:rPr>
  </w:style>
  <w:style w:type="paragraph" w:customStyle="1" w:styleId="21">
    <w:name w:val="Заголовок 21"/>
    <w:basedOn w:val="a"/>
    <w:pPr>
      <w:keepNext/>
    </w:pPr>
    <w:rPr>
      <w:b/>
    </w:rPr>
  </w:style>
  <w:style w:type="table" w:styleId="ab">
    <w:name w:val="Table Grid"/>
    <w:basedOn w:val="a1"/>
    <w:uiPriority w:val="39"/>
    <w:rsid w:val="008A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4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4328</Words>
  <Characters>24672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Хвастунов</dc:creator>
  <cp:keywords/>
  <dc:description/>
  <cp:lastModifiedBy>Алексей Хвастунов</cp:lastModifiedBy>
  <cp:revision>10</cp:revision>
  <dcterms:created xsi:type="dcterms:W3CDTF">2026-10-05T12:40:00Z</dcterms:created>
  <dcterms:modified xsi:type="dcterms:W3CDTF">2026-10-05T13:36:00Z</dcterms:modified>
</cp:coreProperties>
</file>