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are percepts? How authors used it in the network?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Percept is an approach to learn the spatio-temporal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present in the video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intermediate visual representations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GRU.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based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extracted from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a deep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network trained on the large ImageNet dataset.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The approach proposes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"percepts"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extracted from 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levels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CNN 2D. 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They use recurrent convolutional units on pre-trained CNN convolutional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extract temporal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from visual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"percepts"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different spatial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How to define finer motion patterns using low level precepts?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Low-level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perceptions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preserve a higher spatial resolution from which we can model finer motion patterns.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However,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low-level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high-dimensional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video.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mitigate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parameters,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GRU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sparse connectivity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is the difference between GRU-RCN and Stacked GRU-RCN?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GRU-RCN applies each GRU-RNN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level independently,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Stacked GRU-RCN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each GRU-RNN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output of the previous GRU-RNN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current time step. The previous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hidden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RNN representation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GRU convolutional units. Adding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additional connection offers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more flexibility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model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representations with different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did the authors use to extract temporal patterns from visuals?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authors used recurrent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convolutional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units on pre-trained CNN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convolution maps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extract temporal patterns from visual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"perceptions"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different spatial sizes.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proposed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alternative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architectures,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GRU-RCN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GRU-RCN,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combine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convolutional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datasets the authors used for the experiment listed them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authors empirically validated their approach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human action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video caption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using the UCF-101 and YouTube2Text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2021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