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Full-Stack Trading Systems Engineer | Low-Latency UI, Event-Driven Architecture, Capital Markets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New York, NY | 386-212-8631 | nicolas.cinera@gmail.com | linkedin.com/in/nickcinera | github.com/Extrieve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171D24"/>
          <w:sz w:val="16"/>
        </w:rPr>
        <w:t>Goldman Sachs engineer building latency-sensitive trading platforms across React, TypeScript, Redux, AG Grid, Java, and WebSocket. Owns production workflows end-to-end: low-latency UI rendering, event-driven distributed systems, server-authoritative streaming models, feature-canary migrations, release configuration, and trader-facing reliability. Adept at using AI workflows and agentic coding systems to accelerate codebase navigation, design exploration, debugging, test generation, and technical writing while keeping validation rigorous.</w:t>
      </w:r>
    </w:p>
    <w:p>
      <w:pPr>
        <w:spacing w:before="80" w:after="3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CORE STRENGTHS</w:t>
      </w:r>
    </w:p>
    <w:tbl>
      <w:tblPr>
        <w:tblW w:type="dxa" w:w="10872"/>
        <w:jc w:val="center"/>
        <w:tblLook w:firstColumn="1" w:firstRow="1" w:lastColumn="0" w:lastRow="0" w:noHBand="0" w:noVBand="1" w:val="04A0"/>
        <w:tblBorders>
          <w:top w:val="single" w:sz="3" w:space="0" w:color="E1E6EC"/>
          <w:left w:val="single" w:sz="3" w:space="0" w:color="E1E6EC"/>
          <w:bottom w:val="single" w:sz="3" w:space="0" w:color="E1E6EC"/>
          <w:right w:val="single" w:sz="3" w:space="0" w:color="E1E6EC"/>
          <w:insideH w:val="single" w:sz="3" w:space="0" w:color="E1E6EC"/>
          <w:insideV w:val="single" w:sz="3" w:space="0" w:color="E1E6EC"/>
        </w:tblBorders>
      </w:tblPr>
      <w:tblGrid>
        <w:gridCol w:w="3629"/>
        <w:gridCol w:w="3629"/>
        <w:gridCol w:w="3629"/>
      </w:tblGrid>
      <w:tr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Trading Systems: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Equity derivatives RFQ/RFS, DCM new issue workflows, pricing grids, P&amp;L / fees, investor analytics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Frontend Architecture: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React, TypeScript, Redux Toolkit, redux-observable / RxJS, AG Grid Enterprise, Cypress, Jest, Karma/Jasmine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Backend &amp; Platform: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Java, WebSocket streaming, REST APIs, distributed systems, Node.js, Python, Go, SQL, Docker, AWS, CI/CD</w:t>
            </w:r>
          </w:p>
        </w:tc>
      </w:tr>
      <w:tr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Performance: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Low-latency frontend performance, large-grid rendering, diff-based streaming, state synchronization, payload reduction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Ownership: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End-to-end product delivery, cross-team release engineering, migration planning, production hardening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Foundations: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Algorithms, C/C++, Java certification, machine-learning graduate study, competitive-programming leadership</w:t>
            </w:r>
          </w:p>
        </w:tc>
      </w:tr>
      <w:tr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AI Workflows: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Agentic coding systems, repo-aware code generation, AI-assisted debugging/refactoring, test scaffolding, review prep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Systems Design: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Server-authoritative projections, normalized/denormalized models, event handlers, shared domain libraries</w:t>
            </w:r>
          </w:p>
        </w:tc>
        <w:tc>
          <w:tcPr>
            <w:tcW w:type="dxa" w:w="3629"/>
            <w:tcMar>
              <w:top w:w="55" w:type="dxa"/>
              <w:start w:w="70" w:type="dxa"/>
              <w:bottom w:w="55" w:type="dxa"/>
              <w:end w:w="70" w:type="dxa"/>
            </w:tcMar>
            <w:shd w:fill="F7F9FB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00587A"/>
                <w:sz w:val="15"/>
              </w:rPr>
              <w:t xml:space="preserve">Delivery Quality: </w:t>
            </w:r>
            <w:r>
              <w:rPr>
                <w:rFonts w:ascii="Aptos" w:hAnsi="Aptos"/>
                <w:b w:val="0"/>
                <w:i w:val="0"/>
                <w:color w:val="171D24"/>
                <w:sz w:val="15"/>
              </w:rPr>
              <w:t>Production reliability, canary rollouts, parity validation, regression discipline, feature flags, safe migration sequencing</w:t>
            </w:r>
          </w:p>
        </w:tc>
      </w:tr>
    </w:tbl>
    <w:p>
      <w:pPr>
        <w:spacing w:before="80" w:after="3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EXPERIENCE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Global Markets - Equities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Apr 2025 - Present</w:t>
            </w:r>
          </w:p>
        </w:tc>
      </w:tr>
    </w:tbl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Technical owner for a real-time, multi-leg pricing grid used by traders to price and structure equity-derivatives RFQ/RFS inquiries; owns the React/TypeScript UI, Java server tier, WebSocket stream, and declarative release configuration.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Migrated a legacy client-heavy pricer to a server-authoritative, event-driven streaming architecture behind a feature canary, running old and new paths in parallel through layout/parity validation before retiring legacy code.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Implemented server-computed table layouts spanning tabs, columns, nested per-leg child grids, expansion state, styling, formatting, and cell renderers so the client stays thin and optimized for interaction/rendering.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Modeled both normalized and denormalized projections for the same portfolio, enabling single-table and per-leg nested-grid views from a shared server-side layout engine and preserving parity with legacy trader workflows.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Reduced redundant per-tick WebSocket payloads by publishing only changed table structure through value-equality / diff-based streaming and removing fields serialized on every market or valuation event.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Delivered 378 commits across 1,437 files over 12 months (+55,204 / -19,575 LOC), including 188 commits on the pricing-grid/data layer and 35 of 38 server-tier commits in the core pricing engine.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Uses AI-assisted and agentic engineering workflows for codebase search, implementation planning, refactor decomposition, test-case ideation, and review checklists while grounding changes in local builds, specs, and production constraints.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Investment Banking - Debt Capital Markets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 2023 - Apr 2025</w:t>
            </w:r>
          </w:p>
        </w:tc>
      </w:tr>
    </w:tbl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Owned two production trading applications used daily by syndicate bankers, traders, and capital-markets originators for bond and loan new-issue workflows: investor targeting, demand aggregation, pricing/allocation, trade booking, and P&amp;L / fee reconciliation.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Built AG Grid-heavy React/TypeScript surfaces across two state paradigms: a Redux Toolkit / Module Federation investor-analytics host and a classic Redux + redux-observable syndicate-link platform.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Maintained a Module Federation host that loaded federated investor-analytics remotes with runtime-injected origins across dev / QA / prod while keeping shared React/Redux dependencies singleton-safe.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Built a cross-tab user-preferences framework for major grid views, persisting per-user column order, visibility, widths, pin state, and drag/reorder rules while unifying CSV/Excel export behavior with on-screen layout.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Owned the syndicate-link P&amp;L tab end-to-end, including GS Fees, Controllers Flash, Synd Fees, and Deal Table grids, with editable cell navigation, dirty-field highlighting, precision rules, value setters, and audit labeling.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7"/>
        </w:rPr>
        <w:t>Led an investor-participation query workflow from input form to API, grid, and export, including multi-currency demand aggregation, conversion toggles, incompatible-mode suppression, export parity, and user-group tab gating.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Managed Funds Flow integration through versioned NPM packages and branch-conditional CI install rules so integration testing could float against upstream releases without destabilizing production trains.</w:t>
      </w:r>
    </w:p>
    <w:p>
      <w:pPr>
        <w:pStyle w:val="ResumeBullet"/>
        <w:spacing w:after="32"/>
      </w:pPr>
      <w:r>
        <w:rPr>
          <w:rFonts w:ascii="Aptos" w:hAnsi="Aptos"/>
          <w:b w:val="0"/>
          <w:i w:val="0"/>
          <w:color w:val="171D24"/>
          <w:sz w:val="16"/>
        </w:rPr>
        <w:t>Drove framework and dependency migrations across managed CI/CD pipelines, including React 17 to 18, AG Grid 23 to 30, node-sass removal, Highcharts upgrades, LaunchDarkly SDK upgrades, GS UI Toolkit upgrades, and Node/NPM version bumps.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 Intern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 2022 - Aug 2022</w:t>
            </w:r>
          </w:p>
        </w:tc>
      </w:tr>
    </w:tbl>
    <w:p>
      <w:pPr>
        <w:pStyle w:val="ResumeBullet"/>
        <w:spacing w:after="20"/>
      </w:pPr>
      <w:r>
        <w:rPr>
          <w:rFonts w:ascii="Aptos" w:hAnsi="Aptos"/>
          <w:b w:val="0"/>
          <w:i w:val="0"/>
          <w:color w:val="171D24"/>
          <w:sz w:val="16"/>
        </w:rPr>
        <w:t>Returned full-time after internship; built production engineering context in a regulated financial-services environment.</w:t>
      </w:r>
    </w:p>
    <w:p>
      <w:pPr>
        <w:spacing w:before="80" w:after="3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EDUCATION, CERTIFICATIONS &amp; LEADERSHIP</w:t>
      </w:r>
    </w:p>
    <w:tbl>
      <w:tblPr>
        <w:tblW w:type="dxa" w:w="10872"/>
        <w:jc w:val="center"/>
        <w:tblLook w:firstColumn="1" w:firstRow="1" w:lastColumn="0" w:lastRow="0" w:noHBand="0" w:noVBand="1" w:val="04A0"/>
      </w:tblPr>
      <w:tblGrid>
        <w:gridCol w:w="8136"/>
        <w:gridCol w:w="2736"/>
      </w:tblGrid>
      <w:tr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M.S., Computer and Information Systems - Machine Learning Concentration</w:t>
            </w:r>
          </w:p>
        </w:tc>
        <w:tc>
          <w:tcPr>
            <w:tcW w:type="dxa" w:w="5443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Dec 2022</w:t>
            </w:r>
          </w:p>
        </w:tc>
      </w:tr>
    </w:tbl>
    <w:p>
      <w:pPr>
        <w:pStyle w:val="ResumeBullet"/>
        <w:spacing w:after="16"/>
      </w:pPr>
      <w:r>
        <w:rPr>
          <w:rFonts w:ascii="Aptos" w:hAnsi="Aptos"/>
          <w:b w:val="0"/>
          <w:i w:val="0"/>
          <w:color w:val="171D24"/>
          <w:sz w:val="16"/>
        </w:rPr>
        <w:t>Technical Chairman, USF Society of Competitive Programmers; led ICPC-style preparation, coached students through algorithmic problem solving, and built training around data structures, complexity, correctness, and reasoning under constraints.</w:t>
      </w:r>
    </w:p>
    <w:p>
      <w:pPr>
        <w:pStyle w:val="ResumeBullet"/>
        <w:spacing w:after="0"/>
      </w:pPr>
      <w:r>
        <w:rPr>
          <w:rFonts w:ascii="Aptos" w:hAnsi="Aptos"/>
          <w:b w:val="0"/>
          <w:i w:val="0"/>
          <w:color w:val="171D24"/>
          <w:sz w:val="16"/>
        </w:rPr>
        <w:t>Oracle Certified Professional, Java SE 8 Programmer II; Oracle Certified Associate, Java SE 8 Programmer. Bilingual English / Spanish.</w:t>
      </w:r>
    </w:p>
    <w:sectPr w:rsidR="00FC693F" w:rsidRPr="0006063C" w:rsidSect="00034616">
      <w:footerReference w:type="default" r:id="rId9"/>
      <w:pgSz w:w="12240" w:h="15840"/>
      <w:pgMar w:top="547" w:right="677" w:bottom="547" w:left="677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32" w:line="245" w:lineRule="auto"/>
      <w:ind w:left="245" w:hanging="15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