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ptos" w:hAnsi="Aptos"/>
          <w:b/>
          <w:i w:val="0"/>
          <w:color w:val="171D24"/>
          <w:sz w:val="37"/>
        </w:rPr>
        <w:t>NICK CINERA</w:t>
      </w:r>
    </w:p>
    <w:p>
      <w:pPr>
        <w:spacing w:after="40"/>
        <w:jc w:val="center"/>
      </w:pPr>
      <w:r>
        <w:rPr>
          <w:rFonts w:ascii="Aptos" w:hAnsi="Aptos"/>
          <w:b/>
          <w:i w:val="0"/>
          <w:color w:val="00587A"/>
          <w:sz w:val="19"/>
        </w:rPr>
        <w:t>Full-Stack Trading Systems Engineer | Low-Latency UI, Event-Driven Architecture, Capital Markets</w:t>
      </w:r>
    </w:p>
    <w:p>
      <w:pPr>
        <w:spacing w:after="60"/>
        <w:jc w:val="center"/>
      </w:pPr>
      <w:r>
        <w:rPr>
          <w:rFonts w:ascii="Aptos" w:hAnsi="Aptos"/>
          <w:b w:val="0"/>
          <w:i w:val="0"/>
          <w:color w:val="535B66"/>
          <w:sz w:val="17"/>
        </w:rPr>
        <w:t>New York, NY | 386-212-8631 | nicolas.cinera@gmail.com | linkedin.com/in/nickcinera | github.com/Extrieve</w:t>
      </w:r>
    </w:p>
    <w:p>
      <w:pPr>
        <w:spacing w:after="80"/>
        <w:jc w:val="center"/>
      </w:pPr>
      <w:r>
        <w:rPr>
          <w:rFonts w:ascii="Aptos" w:hAnsi="Aptos"/>
          <w:b w:val="0"/>
          <w:i w:val="0"/>
          <w:color w:val="171D24"/>
          <w:sz w:val="16"/>
        </w:rPr>
        <w:t>Goldman Sachs engineer building latency-sensitive trading platforms across React, TypeScript, Redux, AG Grid, Java, and WebSocket. Owns production workflows end-to-end: low-latency UI rendering, event-driven distributed systems, server-authoritative streaming models, feature-canary migrations, release configuration, and trader-facing reliability. Adept at using AI workflows and agentic coding systems to accelerate codebase navigation, design exploration, debugging, test generation, and technical writing while keeping validation rigorous.</w:t>
      </w:r>
    </w:p>
    <w:p>
      <w:pPr>
        <w:spacing w:before="80" w:after="3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CORE STRENGTHS</w:t>
      </w:r>
    </w:p>
    <w:tbl>
      <w:tblPr>
        <w:tblW w:type="dxa" w:w="10872"/>
        <w:jc w:val="center"/>
        <w:tblLook w:firstColumn="1" w:firstRow="1" w:lastColumn="0" w:lastRow="0" w:noHBand="0" w:noVBand="1" w:val="04A0"/>
        <w:tblBorders>
          <w:top w:val="single" w:sz="3" w:space="0" w:color="E1E6EC"/>
          <w:left w:val="single" w:sz="3" w:space="0" w:color="E1E6EC"/>
          <w:bottom w:val="single" w:sz="3" w:space="0" w:color="E1E6EC"/>
          <w:right w:val="single" w:sz="3" w:space="0" w:color="E1E6EC"/>
          <w:insideH w:val="single" w:sz="3" w:space="0" w:color="E1E6EC"/>
          <w:insideV w:val="single" w:sz="3" w:space="0" w:color="E1E6EC"/>
        </w:tblBorders>
      </w:tblPr>
      <w:tblGrid>
        <w:gridCol w:w="3629"/>
        <w:gridCol w:w="3629"/>
        <w:gridCol w:w="3629"/>
      </w:tblGrid>
      <w:tr>
        <w:tc>
          <w:tcPr>
            <w:tcW w:type="dxa" w:w="3629"/>
            <w:tcMar>
              <w:top w:w="55" w:type="dxa"/>
              <w:start w:w="70" w:type="dxa"/>
              <w:bottom w:w="55" w:type="dxa"/>
              <w:end w:w="70" w:type="dxa"/>
            </w:tcMar>
            <w:shd w:fill="F7F9FB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587A"/>
                <w:sz w:val="15"/>
              </w:rPr>
              <w:t xml:space="preserve">Trading Systems: </w:t>
            </w:r>
            <w:r>
              <w:rPr>
                <w:rFonts w:ascii="Aptos" w:hAnsi="Aptos"/>
                <w:b w:val="0"/>
                <w:i w:val="0"/>
                <w:color w:val="171D24"/>
                <w:sz w:val="15"/>
              </w:rPr>
              <w:t>Equity derivatives RFQ/RFS, DCM new issue workflows, pricing grids, P&amp;L / fees, investor analytics</w:t>
            </w:r>
          </w:p>
        </w:tc>
        <w:tc>
          <w:tcPr>
            <w:tcW w:type="dxa" w:w="3629"/>
            <w:tcMar>
              <w:top w:w="55" w:type="dxa"/>
              <w:start w:w="70" w:type="dxa"/>
              <w:bottom w:w="55" w:type="dxa"/>
              <w:end w:w="70" w:type="dxa"/>
            </w:tcMar>
            <w:shd w:fill="F7F9FB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587A"/>
                <w:sz w:val="15"/>
              </w:rPr>
              <w:t xml:space="preserve">Frontend Architecture: </w:t>
            </w:r>
            <w:r>
              <w:rPr>
                <w:rFonts w:ascii="Aptos" w:hAnsi="Aptos"/>
                <w:b w:val="0"/>
                <w:i w:val="0"/>
                <w:color w:val="171D24"/>
                <w:sz w:val="15"/>
              </w:rPr>
              <w:t>React, TypeScript, Redux Toolkit, redux-observable / RxJS, AG Grid Enterprise, Cypress, Jest, Karma/Jasmine</w:t>
            </w:r>
          </w:p>
        </w:tc>
        <w:tc>
          <w:tcPr>
            <w:tcW w:type="dxa" w:w="3629"/>
            <w:tcMar>
              <w:top w:w="55" w:type="dxa"/>
              <w:start w:w="70" w:type="dxa"/>
              <w:bottom w:w="55" w:type="dxa"/>
              <w:end w:w="70" w:type="dxa"/>
            </w:tcMar>
            <w:shd w:fill="F7F9FB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587A"/>
                <w:sz w:val="15"/>
              </w:rPr>
              <w:t xml:space="preserve">Backend &amp; Platform: </w:t>
            </w:r>
            <w:r>
              <w:rPr>
                <w:rFonts w:ascii="Aptos" w:hAnsi="Aptos"/>
                <w:b w:val="0"/>
                <w:i w:val="0"/>
                <w:color w:val="171D24"/>
                <w:sz w:val="15"/>
              </w:rPr>
              <w:t>Java, WebSocket streaming, REST APIs, distributed systems, Node.js, Python, Go, SQL, Docker, AWS, CI/CD</w:t>
            </w:r>
          </w:p>
        </w:tc>
      </w:tr>
      <w:tr>
        <w:tc>
          <w:tcPr>
            <w:tcW w:type="dxa" w:w="3629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587A"/>
                <w:sz w:val="15"/>
              </w:rPr>
              <w:t xml:space="preserve">Performance: </w:t>
            </w:r>
            <w:r>
              <w:rPr>
                <w:rFonts w:ascii="Aptos" w:hAnsi="Aptos"/>
                <w:b w:val="0"/>
                <w:i w:val="0"/>
                <w:color w:val="171D24"/>
                <w:sz w:val="15"/>
              </w:rPr>
              <w:t>Low-latency frontend performance, large-grid rendering, diff-based streaming, state synchronization, payload reduction</w:t>
            </w:r>
          </w:p>
        </w:tc>
        <w:tc>
          <w:tcPr>
            <w:tcW w:type="dxa" w:w="3629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587A"/>
                <w:sz w:val="15"/>
              </w:rPr>
              <w:t xml:space="preserve">Ownership: </w:t>
            </w:r>
            <w:r>
              <w:rPr>
                <w:rFonts w:ascii="Aptos" w:hAnsi="Aptos"/>
                <w:b w:val="0"/>
                <w:i w:val="0"/>
                <w:color w:val="171D24"/>
                <w:sz w:val="15"/>
              </w:rPr>
              <w:t>End-to-end product delivery, cross-team release engineering, migration planning, production hardening</w:t>
            </w:r>
          </w:p>
        </w:tc>
        <w:tc>
          <w:tcPr>
            <w:tcW w:type="dxa" w:w="3629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587A"/>
                <w:sz w:val="15"/>
              </w:rPr>
              <w:t xml:space="preserve">Foundations: </w:t>
            </w:r>
            <w:r>
              <w:rPr>
                <w:rFonts w:ascii="Aptos" w:hAnsi="Aptos"/>
                <w:b w:val="0"/>
                <w:i w:val="0"/>
                <w:color w:val="171D24"/>
                <w:sz w:val="15"/>
              </w:rPr>
              <w:t>Algorithms, C/C++, Java certification, machine-learning graduate study, competitive-programming leadership</w:t>
            </w:r>
          </w:p>
        </w:tc>
      </w:tr>
      <w:tr>
        <w:tc>
          <w:tcPr>
            <w:tcW w:type="dxa" w:w="3629"/>
            <w:tcMar>
              <w:top w:w="55" w:type="dxa"/>
              <w:start w:w="70" w:type="dxa"/>
              <w:bottom w:w="55" w:type="dxa"/>
              <w:end w:w="70" w:type="dxa"/>
            </w:tcMar>
            <w:shd w:fill="F7F9FB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587A"/>
                <w:sz w:val="15"/>
              </w:rPr>
              <w:t xml:space="preserve">AI Workflows: </w:t>
            </w:r>
            <w:r>
              <w:rPr>
                <w:rFonts w:ascii="Aptos" w:hAnsi="Aptos"/>
                <w:b w:val="0"/>
                <w:i w:val="0"/>
                <w:color w:val="171D24"/>
                <w:sz w:val="15"/>
              </w:rPr>
              <w:t>Agentic coding systems, repo-aware code generation, AI-assisted debugging/refactoring, test scaffolding, review prep</w:t>
            </w:r>
          </w:p>
        </w:tc>
        <w:tc>
          <w:tcPr>
            <w:tcW w:type="dxa" w:w="3629"/>
            <w:tcMar>
              <w:top w:w="55" w:type="dxa"/>
              <w:start w:w="70" w:type="dxa"/>
              <w:bottom w:w="55" w:type="dxa"/>
              <w:end w:w="70" w:type="dxa"/>
            </w:tcMar>
            <w:shd w:fill="F7F9FB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587A"/>
                <w:sz w:val="15"/>
              </w:rPr>
              <w:t xml:space="preserve">Systems Design: </w:t>
            </w:r>
            <w:r>
              <w:rPr>
                <w:rFonts w:ascii="Aptos" w:hAnsi="Aptos"/>
                <w:b w:val="0"/>
                <w:i w:val="0"/>
                <w:color w:val="171D24"/>
                <w:sz w:val="15"/>
              </w:rPr>
              <w:t>Server-authoritative projections, normalized/denormalized models, event handlers, shared domain libraries</w:t>
            </w:r>
          </w:p>
        </w:tc>
        <w:tc>
          <w:tcPr>
            <w:tcW w:type="dxa" w:w="3629"/>
            <w:tcMar>
              <w:top w:w="55" w:type="dxa"/>
              <w:start w:w="70" w:type="dxa"/>
              <w:bottom w:w="55" w:type="dxa"/>
              <w:end w:w="70" w:type="dxa"/>
            </w:tcMar>
            <w:shd w:fill="F7F9FB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587A"/>
                <w:sz w:val="15"/>
              </w:rPr>
              <w:t xml:space="preserve">Delivery Quality: </w:t>
            </w:r>
            <w:r>
              <w:rPr>
                <w:rFonts w:ascii="Aptos" w:hAnsi="Aptos"/>
                <w:b w:val="0"/>
                <w:i w:val="0"/>
                <w:color w:val="171D24"/>
                <w:sz w:val="15"/>
              </w:rPr>
              <w:t>Production reliability, canary rollouts, parity validation, regression discipline, feature flags, safe migration sequencing</w:t>
            </w:r>
          </w:p>
        </w:tc>
      </w:tr>
    </w:tbl>
    <w:p>
      <w:pPr>
        <w:spacing w:before="80" w:after="3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EXPERIENCE</w:t>
      </w:r>
    </w:p>
    <w:tbl>
      <w:tblPr>
        <w:tblW w:type="dxa" w:w="10872"/>
        <w:jc w:val="center"/>
        <w:tblLook w:firstColumn="1" w:firstRow="1" w:lastColumn="0" w:lastRow="0" w:noHBand="0" w:noVBand="1" w:val="04A0"/>
      </w:tblPr>
      <w:tblGrid>
        <w:gridCol w:w="8136"/>
        <w:gridCol w:w="2736"/>
      </w:tblGrid>
      <w:tr>
        <w:tc>
          <w:tcPr>
            <w:tcW w:type="dxa" w:w="5443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Software Engineer, Global Markets - Equities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New York, NY</w:t>
            </w:r>
          </w:p>
        </w:tc>
        <w:tc>
          <w:tcPr>
            <w:tcW w:type="dxa" w:w="5443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Apr 2025 - Present</w:t>
            </w:r>
          </w:p>
        </w:tc>
      </w:tr>
    </w:tbl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7"/>
        </w:rPr>
        <w:t>Technical owner for a real-time, multi-leg pricing grid used by traders to price and structure equity-derivatives RFQ/RFS inquiries; owns the React/TypeScript UI, Java server tier, WebSocket stream, and declarative release configuration.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7"/>
        </w:rPr>
        <w:t>Migrated a legacy client-heavy pricer to a server-authoritative, event-driven streaming architecture behind a feature canary, running old and new paths in parallel through layout/parity validation before retiring legacy code.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7"/>
        </w:rPr>
        <w:t>Implemented server-computed table layouts spanning tabs, columns, nested per-leg child grids, expansion state, styling, formatting, and cell renderers so the client stays thin and optimized for interaction/rendering.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6"/>
        </w:rPr>
        <w:t>Modeled both normalized and denormalized projections for the same portfolio, enabling single-table and per-leg nested-grid views from a shared server-side layout engine and preserving parity with legacy trader workflows.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7"/>
        </w:rPr>
        <w:t>Reduced redundant per-tick WebSocket payloads by publishing only changed table structure through value-equality / diff-based streaming and removing fields serialized on every market or valuation event.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6"/>
        </w:rPr>
        <w:t>Delivered 378 commits across 1,437 files over 12 months (+55,204 / -19,575 LOC), including 188 commits on the pricing-grid/data layer and 35 of 38 server-tier commits in the core pricing engine.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6"/>
        </w:rPr>
        <w:t>Uses AI-assisted and agentic engineering workflows for codebase search, implementation planning, refactor decomposition, test-case ideation, and review checklists while grounding changes in local builds, specs, and production constraints.</w:t>
      </w:r>
    </w:p>
    <w:tbl>
      <w:tblPr>
        <w:tblW w:type="dxa" w:w="10872"/>
        <w:jc w:val="center"/>
        <w:tblLook w:firstColumn="1" w:firstRow="1" w:lastColumn="0" w:lastRow="0" w:noHBand="0" w:noVBand="1" w:val="04A0"/>
      </w:tblPr>
      <w:tblGrid>
        <w:gridCol w:w="8136"/>
        <w:gridCol w:w="2736"/>
      </w:tblGrid>
      <w:tr>
        <w:tc>
          <w:tcPr>
            <w:tcW w:type="dxa" w:w="5443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Software Engineer, Investment Banking - Debt Capital Markets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New York, NY</w:t>
            </w:r>
          </w:p>
        </w:tc>
        <w:tc>
          <w:tcPr>
            <w:tcW w:type="dxa" w:w="5443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Feb 2023 - Apr 2025</w:t>
            </w:r>
          </w:p>
        </w:tc>
      </w:tr>
    </w:tbl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7"/>
        </w:rPr>
        <w:t>Owned two production trading applications used daily by syndicate bankers, traders, and capital-markets originators for bond and loan new-issue workflows: investor targeting, demand aggregation, pricing/allocation, trade booking, and P&amp;L / fee reconciliation.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7"/>
        </w:rPr>
        <w:t>Built AG Grid-heavy React/TypeScript surfaces across two state paradigms: a Redux Toolkit / Module Federation investor-analytics host and a classic Redux + redux-observable syndicate-link platform.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6"/>
        </w:rPr>
        <w:t>Maintained a Module Federation host that loaded federated investor-analytics remotes with runtime-injected origins across dev / QA / prod while keeping shared React/Redux dependencies singleton-safe.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7"/>
        </w:rPr>
        <w:t>Built a cross-tab user-preferences framework for major grid views, persisting per-user column order, visibility, widths, pin state, and drag/reorder rules while unifying CSV/Excel export behavior with on-screen layout.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7"/>
        </w:rPr>
        <w:t>Owned the syndicate-link P&amp;L tab end-to-end, including GS Fees, Controllers Flash, Synd Fees, and Deal Table grids, with editable cell navigation, dirty-field highlighting, precision rules, value setters, and audit labeling.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7"/>
        </w:rPr>
        <w:t>Led an investor-participation query workflow from input form to API, grid, and export, including multi-currency demand aggregation, conversion toggles, incompatible-mode suppression, export parity, and user-group tab gating.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6"/>
        </w:rPr>
        <w:t>Managed Funds Flow integration through versioned NPM packages and branch-conditional CI install rules so integration testing could float against upstream releases without destabilizing production trains.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6"/>
        </w:rPr>
        <w:t>Drove framework and dependency migrations across managed CI/CD pipelines, including React 17 to 18, AG Grid 23 to 30, node-sass removal, Highcharts upgrades, LaunchDarkly SDK upgrades, GS UI Toolkit upgrades, and Node/NPM version bumps.</w:t>
      </w:r>
    </w:p>
    <w:tbl>
      <w:tblPr>
        <w:tblW w:type="dxa" w:w="10872"/>
        <w:jc w:val="center"/>
        <w:tblLook w:firstColumn="1" w:firstRow="1" w:lastColumn="0" w:lastRow="0" w:noHBand="0" w:noVBand="1" w:val="04A0"/>
      </w:tblPr>
      <w:tblGrid>
        <w:gridCol w:w="8136"/>
        <w:gridCol w:w="2736"/>
      </w:tblGrid>
      <w:tr>
        <w:tc>
          <w:tcPr>
            <w:tcW w:type="dxa" w:w="5443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Software Engineer Intern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Dallas, TX</w:t>
            </w:r>
          </w:p>
        </w:tc>
        <w:tc>
          <w:tcPr>
            <w:tcW w:type="dxa" w:w="5443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Jun 2022 - Aug 2022</w:t>
            </w:r>
          </w:p>
        </w:tc>
      </w:tr>
    </w:tbl>
    <w:p>
      <w:pPr>
        <w:pStyle w:val="ResumeBullet"/>
        <w:spacing w:after="20"/>
      </w:pPr>
      <w:r>
        <w:rPr>
          <w:rFonts w:ascii="Aptos" w:hAnsi="Aptos"/>
          <w:b w:val="0"/>
          <w:i w:val="0"/>
          <w:color w:val="171D24"/>
          <w:sz w:val="16"/>
        </w:rPr>
        <w:t>Returned full-time after internship; built production engineering context in a regulated financial-services environment.</w:t>
      </w:r>
    </w:p>
    <w:p>
      <w:pPr>
        <w:spacing w:before="80" w:after="3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EDUCATION, CERTIFICATIONS &amp; LEADERSHIP</w:t>
      </w:r>
    </w:p>
    <w:tbl>
      <w:tblPr>
        <w:tblW w:type="dxa" w:w="10872"/>
        <w:jc w:val="center"/>
        <w:tblLook w:firstColumn="1" w:firstRow="1" w:lastColumn="0" w:lastRow="0" w:noHBand="0" w:noVBand="1" w:val="04A0"/>
      </w:tblPr>
      <w:tblGrid>
        <w:gridCol w:w="8136"/>
        <w:gridCol w:w="2736"/>
      </w:tblGrid>
      <w:tr>
        <w:tc>
          <w:tcPr>
            <w:tcW w:type="dxa" w:w="5443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University of South Florida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M.S., Computer and Information Systems - Machine Learning Concentration</w:t>
            </w:r>
          </w:p>
        </w:tc>
        <w:tc>
          <w:tcPr>
            <w:tcW w:type="dxa" w:w="5443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Dec 2022</w:t>
            </w:r>
          </w:p>
        </w:tc>
      </w:tr>
    </w:tbl>
    <w:p>
      <w:pPr>
        <w:pStyle w:val="ResumeBullet"/>
        <w:spacing w:after="16"/>
      </w:pPr>
      <w:r>
        <w:rPr>
          <w:rFonts w:ascii="Aptos" w:hAnsi="Aptos"/>
          <w:b w:val="0"/>
          <w:i w:val="0"/>
          <w:color w:val="171D24"/>
          <w:sz w:val="16"/>
        </w:rPr>
        <w:t>Technical Chairman, USF Society of Competitive Programmers; led ICPC-style preparation, coached students through algorithmic problem solving, and built training around data structures, complexity, correctness, and reasoning under constraints.</w:t>
      </w:r>
    </w:p>
    <w:p>
      <w:pPr>
        <w:pStyle w:val="ResumeBullet"/>
        <w:spacing w:after="0"/>
      </w:pPr>
      <w:r>
        <w:rPr>
          <w:rFonts w:ascii="Aptos" w:hAnsi="Aptos"/>
          <w:b w:val="0"/>
          <w:i w:val="0"/>
          <w:color w:val="171D24"/>
          <w:sz w:val="16"/>
        </w:rPr>
        <w:t>Oracle Certified Professional, Java SE 8 Programmer II; Oracle Certified Associate, Java SE 8 Programmer. Bilingual English / Spanish.</w:t>
      </w:r>
    </w:p>
    <w:sectPr w:rsidR="00FC693F" w:rsidRPr="0006063C" w:rsidSect="00034616">
      <w:footerReference w:type="default" r:id="rId9"/>
      <w:pgSz w:w="12240" w:h="15840"/>
      <w:pgMar w:top="547" w:right="677" w:bottom="547" w:left="677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i w:val="0"/>
        <w:color w:val="535B66"/>
        <w:sz w:val="14"/>
      </w:rPr>
      <w:t>Resume tailored for trading-system, low-latency UI, and full-stack capital-markets engineering interviews.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Aptos" w:hAnsi="Aptos"/>
      <w:color w:val="171D24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Normal"/>
    <w:pPr>
      <w:spacing w:after="32" w:line="245" w:lineRule="auto"/>
      <w:ind w:left="245" w:hanging="158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