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i w:val="0"/>
          <w:color w:val="171D24"/>
          <w:sz w:val="37"/>
        </w:rPr>
        <w:t>NICK CINERA</w:t>
      </w:r>
    </w:p>
    <w:p>
      <w:pPr>
        <w:spacing w:after="40"/>
        <w:jc w:val="center"/>
      </w:pPr>
      <w:r>
        <w:rPr>
          <w:rFonts w:ascii="Aptos" w:hAnsi="Aptos"/>
          <w:b/>
          <w:i w:val="0"/>
          <w:color w:val="00587A"/>
          <w:sz w:val="19"/>
        </w:rPr>
        <w:t>Trading Systems Engineer | High-Performance UI, Real-Time Data &amp; Distributed Systems</w:t>
      </w:r>
    </w:p>
    <w:p>
      <w:pPr>
        <w:spacing w:after="68"/>
        <w:jc w:val="center"/>
      </w:pPr>
      <w:r>
        <w:rPr>
          <w:rFonts w:ascii="Aptos" w:hAnsi="Aptos"/>
          <w:b w:val="0"/>
          <w:i w:val="0"/>
          <w:color w:val="535B66"/>
          <w:sz w:val="17"/>
        </w:rPr>
        <w:t>New York, NY | 386-212-8631 | nicolas.cinera@gmail.com | linkedin.com/in/nickcinera | github.com/Extrieve</w:t>
      </w:r>
    </w:p>
    <w:p>
      <w:pPr>
        <w:spacing w:after="88" w:line="250" w:lineRule="auto"/>
        <w:jc w:val="center"/>
      </w:pPr>
      <w:r>
        <w:rPr>
          <w:rFonts w:ascii="Aptos" w:hAnsi="Aptos"/>
          <w:b w:val="0"/>
          <w:i w:val="0"/>
          <w:color w:val="171D24"/>
          <w:sz w:val="17"/>
        </w:rPr>
        <w:t>Software engineer at Goldman Sachs building latency-sensitive equity-derivatives and capital-markets platforms used by traders and deal teams. Owns React/TypeScript/AG Grid interfaces through Java/WebSocket services and production rollout, with deep experience in real-time state, large data grids, event-driven architecture, and controlled migration of desk-critical workflows.</w:t>
      </w:r>
    </w:p>
    <w:p>
      <w:pPr>
        <w:spacing w:before="104" w:after="40"/>
        <w:pBdr>
          <w:bottom w:val="single" w:sz="6" w:space="2" w:color="B9C3CF"/>
        </w:pBdr>
      </w:pPr>
      <w:r>
        <w:rPr>
          <w:rFonts w:ascii="Aptos" w:hAnsi="Aptos"/>
          <w:b/>
          <w:i w:val="0"/>
          <w:color w:val="00587A"/>
          <w:sz w:val="19"/>
        </w:rPr>
        <w:t>TECHNICAL EXPERTISE</w:t>
      </w:r>
    </w:p>
    <w:p>
      <w:pPr>
        <w:spacing w:after="34" w:line="245" w:lineRule="auto"/>
        <w:ind w:left="43"/>
      </w:pPr>
      <w:r>
        <w:rPr>
          <w:rFonts w:ascii="Aptos" w:hAnsi="Aptos"/>
          <w:b/>
          <w:i w:val="0"/>
          <w:color w:val="00587A"/>
          <w:sz w:val="16"/>
        </w:rPr>
        <w:t xml:space="preserve">Frontend: </w:t>
      </w:r>
      <w:r>
        <w:rPr>
          <w:rFonts w:ascii="Aptos" w:hAnsi="Aptos"/>
          <w:b w:val="0"/>
          <w:i w:val="0"/>
          <w:color w:val="171D24"/>
          <w:sz w:val="16"/>
        </w:rPr>
        <w:t>React, TypeScript, JavaScript, Redux Toolkit, redux-observable/RxJS, AG Grid Enterprise, Module Federation, Cypress, Jest, Karma/Jasmine</w:t>
      </w:r>
    </w:p>
    <w:p>
      <w:pPr>
        <w:spacing w:after="34" w:line="245" w:lineRule="auto"/>
        <w:ind w:left="43"/>
      </w:pPr>
      <w:r>
        <w:rPr>
          <w:rFonts w:ascii="Aptos" w:hAnsi="Aptos"/>
          <w:b/>
          <w:i w:val="0"/>
          <w:color w:val="00587A"/>
          <w:sz w:val="16"/>
        </w:rPr>
        <w:t xml:space="preserve">Real-Time &amp; Backend: </w:t>
      </w:r>
      <w:r>
        <w:rPr>
          <w:rFonts w:ascii="Aptos" w:hAnsi="Aptos"/>
          <w:b w:val="0"/>
          <w:i w:val="0"/>
          <w:color w:val="171D24"/>
          <w:sz w:val="16"/>
        </w:rPr>
        <w:t>Java, WebSocket, REST APIs, Node.js, Python, SQL, event-driven/distributed systems, normalized and denormalized projections</w:t>
      </w:r>
    </w:p>
    <w:p>
      <w:pPr>
        <w:spacing w:after="34" w:line="245" w:lineRule="auto"/>
        <w:ind w:left="43"/>
      </w:pPr>
      <w:r>
        <w:rPr>
          <w:rFonts w:ascii="Aptos" w:hAnsi="Aptos"/>
          <w:b/>
          <w:i w:val="0"/>
          <w:color w:val="00587A"/>
          <w:sz w:val="16"/>
        </w:rPr>
        <w:t xml:space="preserve">Trading &amp; Delivery: </w:t>
      </w:r>
      <w:r>
        <w:rPr>
          <w:rFonts w:ascii="Aptos" w:hAnsi="Aptos"/>
          <w:b w:val="0"/>
          <w:i w:val="0"/>
          <w:color w:val="171D24"/>
          <w:sz w:val="16"/>
        </w:rPr>
        <w:t>Equity derivatives RFQ/RFS, DCM new issuance, pricing grids, P&amp;L/fees, CI/CD, LaunchDarkly, canary rollouts, production hardening</w:t>
      </w:r>
    </w:p>
    <w:p>
      <w:pPr>
        <w:spacing w:after="34" w:line="245" w:lineRule="auto"/>
        <w:ind w:left="43"/>
      </w:pPr>
      <w:r>
        <w:rPr>
          <w:rFonts w:ascii="Aptos" w:hAnsi="Aptos"/>
          <w:b/>
          <w:i w:val="0"/>
          <w:color w:val="00587A"/>
          <w:sz w:val="16"/>
        </w:rPr>
        <w:t xml:space="preserve">AI-Accelerated Engineering: </w:t>
      </w:r>
      <w:r>
        <w:rPr>
          <w:rFonts w:ascii="Aptos" w:hAnsi="Aptos"/>
          <w:b w:val="0"/>
          <w:i w:val="0"/>
          <w:color w:val="171D24"/>
          <w:sz w:val="16"/>
        </w:rPr>
        <w:t>Agentic coding systems, repo-aware code generation, debugging and refactoring, test design, and review workflows grounded in builds, tests, and human validation</w:t>
      </w:r>
    </w:p>
    <w:p>
      <w:pPr>
        <w:spacing w:before="104" w:after="40"/>
        <w:pBdr>
          <w:bottom w:val="single" w:sz="6" w:space="2" w:color="B9C3CF"/>
        </w:pBdr>
      </w:pPr>
      <w:r>
        <w:rPr>
          <w:rFonts w:ascii="Aptos" w:hAnsi="Aptos"/>
          <w:b/>
          <w:i w:val="0"/>
          <w:color w:val="00587A"/>
          <w:sz w:val="19"/>
        </w:rPr>
        <w:t>EXPERIENCE</w:t>
      </w:r>
    </w:p>
    <w:tbl>
      <w:tblPr>
        <w:tblW w:type="dxa" w:w="10771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779"/>
      </w:tblGrid>
      <w:tr>
        <w:tc>
          <w:tcPr>
            <w:tcW w:type="dxa" w:w="799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1D24"/>
                <w:sz w:val="18"/>
              </w:rPr>
              <w:t>Goldman Sachs</w:t>
            </w:r>
            <w:r>
              <w:rPr>
                <w:rFonts w:ascii="Aptos" w:hAnsi="Aptos"/>
                <w:b w:val="0"/>
                <w:i w:val="0"/>
                <w:color w:val="535B66"/>
                <w:sz w:val="18"/>
              </w:rPr>
              <w:t xml:space="preserve"> - </w:t>
            </w:r>
            <w:r>
              <w:rPr>
                <w:rFonts w:ascii="Aptos" w:hAnsi="Aptos"/>
                <w:b w:val="0"/>
                <w:i w:val="0"/>
                <w:color w:val="171D24"/>
                <w:sz w:val="18"/>
              </w:rPr>
              <w:t>Software Engineer, Global Markets - Equities</w:t>
            </w:r>
            <w:r>
              <w:rPr>
                <w:rFonts w:ascii="Aptos" w:hAnsi="Aptos"/>
                <w:b w:val="0"/>
                <w:i w:val="0"/>
                <w:color w:val="535B66"/>
                <w:sz w:val="17"/>
              </w:rPr>
              <w:t xml:space="preserve"> | New York, NY</w:t>
            </w:r>
          </w:p>
        </w:tc>
        <w:tc>
          <w:tcPr>
            <w:tcW w:type="dxa" w:w="277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535B66"/>
                <w:sz w:val="17"/>
              </w:rPr>
              <w:t>Apr 2025 - Present</w:t>
            </w:r>
          </w:p>
        </w:tc>
      </w:tr>
    </w:tbl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Own end-to-end delivery of a real-time, multi-leg pricing grid used by equity-derivatives traders to price and structure RFQ/RFS inquiries, spanning the React/TypeScript/AG Grid UI, Java pricing and streaming tier, WebSocket protocol, and release configuration.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Led the incremental migration of a legacy client-heavy pricer to a server-authoritative, event-driven architecture; used a feature canary and parallel old/new-path validation to protect trader workflows while establishing parity and retiring legacy paths.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Designed a server-computed layout model that streams tabs, columns, nested per-leg grids, expansion state, styling, formatting, and cell-renderer metadata, keeping the browser focused on fast rendering and interaction rather than layout computation.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Built normalized and denormalized projections from a shared domain model and diff-based WebSocket publishing, sending only changed structure and removing redundant per-event fields to reduce payload churn on a latency-sensitive path.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Delivered approximately 100 tracked work items across UI, Java services, and release configuration in 12 months, including 188 commits on the pricing-grid/data layer and 35 of 38 server-tier commits in the core pricing engine.</w:t>
      </w:r>
    </w:p>
    <w:p>
      <w:pPr>
        <w:pStyle w:val="ListBullet"/>
        <w:spacing w:after="64"/>
      </w:pPr>
      <w:r>
        <w:rPr>
          <w:rFonts w:ascii="Aptos" w:hAnsi="Aptos"/>
          <w:b w:val="0"/>
          <w:i w:val="0"/>
          <w:color w:val="171D24"/>
          <w:sz w:val="18"/>
        </w:rPr>
        <w:t>Use AI-assisted and agentic engineering workflows for repository-scale navigation, implementation planning, debugging, refactor decomposition, test design, and review, validating outputs against local builds, specifications, and production constraints.</w:t>
      </w:r>
    </w:p>
    <w:tbl>
      <w:tblPr>
        <w:tblW w:type="dxa" w:w="10771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779"/>
      </w:tblGrid>
      <w:tr>
        <w:tc>
          <w:tcPr>
            <w:tcW w:type="dxa" w:w="799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1D24"/>
                <w:sz w:val="18"/>
              </w:rPr>
              <w:t>Goldman Sachs</w:t>
            </w:r>
            <w:r>
              <w:rPr>
                <w:rFonts w:ascii="Aptos" w:hAnsi="Aptos"/>
                <w:b w:val="0"/>
                <w:i w:val="0"/>
                <w:color w:val="535B66"/>
                <w:sz w:val="18"/>
              </w:rPr>
              <w:t xml:space="preserve"> - </w:t>
            </w:r>
            <w:r>
              <w:rPr>
                <w:rFonts w:ascii="Aptos" w:hAnsi="Aptos"/>
                <w:b w:val="0"/>
                <w:i w:val="0"/>
                <w:color w:val="171D24"/>
                <w:sz w:val="18"/>
              </w:rPr>
              <w:t>Software Engineer, Investment Banking - Debt Capital Markets</w:t>
            </w:r>
            <w:r>
              <w:rPr>
                <w:rFonts w:ascii="Aptos" w:hAnsi="Aptos"/>
                <w:b w:val="0"/>
                <w:i w:val="0"/>
                <w:color w:val="535B66"/>
                <w:sz w:val="17"/>
              </w:rPr>
              <w:t xml:space="preserve"> | New York, NY</w:t>
            </w:r>
          </w:p>
        </w:tc>
        <w:tc>
          <w:tcPr>
            <w:tcW w:type="dxa" w:w="277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535B66"/>
                <w:sz w:val="17"/>
              </w:rPr>
              <w:t>Feb 2023 - Apr 2025</w:t>
            </w:r>
          </w:p>
        </w:tc>
      </w:tr>
    </w:tbl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Owned two production capital-markets applications used daily for bond and loan new-issue workflows, from investor targeting and demand aggregation through pricing, allocation, trade booking, and P&amp;L/fee reconciliation.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Built dense, keyboard-driven React/TypeScript and AG Grid workflows across Redux Toolkit/Module Federation and Redux/redux-observable (RxJS), integrating real-time updates and domain REST services.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Operated an investor-analytics platform as a Module Federation host, loading remote applications through runtime-injected origins across development, QA, and production while keeping shared React/Redux dependencies singleton-safe.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Created a reusable cross-tab grid-preferences and export framework that persisted each user's column order, visibility, widths, pinning, and reorder rules while keeping CSV/Excel output aligned with the on-screen layout.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Delivered P&amp;L/fee editing and investor-participation workflows end-to-end, including tab-and-enter navigation, dirty-state cues, precision rules, multi-currency aggregation, API integration, authorization gating, and export parity.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Managed a versioned Funds Flow UI package integration through branch-conditional CI install rules, allowing integration testing against candidate upstream releases without destabilizing production release branches.</w:t>
      </w:r>
    </w:p>
    <w:p>
      <w:pPr>
        <w:pStyle w:val="ListBullet"/>
        <w:spacing w:after="64"/>
      </w:pPr>
      <w:r>
        <w:rPr>
          <w:rFonts w:ascii="Aptos" w:hAnsi="Aptos"/>
          <w:b w:val="0"/>
          <w:i w:val="0"/>
          <w:color w:val="171D24"/>
          <w:sz w:val="18"/>
        </w:rPr>
        <w:t>Modernized both platforms through React 17-to-18 and AG Grid 23-to-30 migrations, node-sass removal, LaunchDarkly/UI toolkit/Node upgrades, Module Federation release configuration, and partner-package integration across managed CI/CD pipelines.</w:t>
      </w:r>
    </w:p>
    <w:tbl>
      <w:tblPr>
        <w:tblW w:type="dxa" w:w="10771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779"/>
      </w:tblGrid>
      <w:tr>
        <w:tc>
          <w:tcPr>
            <w:tcW w:type="dxa" w:w="799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1D24"/>
                <w:sz w:val="18"/>
              </w:rPr>
              <w:t>Goldman Sachs</w:t>
            </w:r>
            <w:r>
              <w:rPr>
                <w:rFonts w:ascii="Aptos" w:hAnsi="Aptos"/>
                <w:b w:val="0"/>
                <w:i w:val="0"/>
                <w:color w:val="535B66"/>
                <w:sz w:val="18"/>
              </w:rPr>
              <w:t xml:space="preserve"> - </w:t>
            </w:r>
            <w:r>
              <w:rPr>
                <w:rFonts w:ascii="Aptos" w:hAnsi="Aptos"/>
                <w:b w:val="0"/>
                <w:i w:val="0"/>
                <w:color w:val="171D24"/>
                <w:sz w:val="18"/>
              </w:rPr>
              <w:t>Software Engineer Intern</w:t>
            </w:r>
            <w:r>
              <w:rPr>
                <w:rFonts w:ascii="Aptos" w:hAnsi="Aptos"/>
                <w:b w:val="0"/>
                <w:i w:val="0"/>
                <w:color w:val="535B66"/>
                <w:sz w:val="17"/>
              </w:rPr>
              <w:t xml:space="preserve"> | Dallas, TX</w:t>
            </w:r>
          </w:p>
        </w:tc>
        <w:tc>
          <w:tcPr>
            <w:tcW w:type="dxa" w:w="277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535B66"/>
                <w:sz w:val="17"/>
              </w:rPr>
              <w:t>Jun 2022 - Aug 2022</w:t>
            </w:r>
          </w:p>
        </w:tc>
      </w:tr>
    </w:tbl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Earned a return offer after building production engineering experience in a regulated financial-services environment.</w:t>
      </w:r>
    </w:p>
    <w:p>
      <w:pPr>
        <w:spacing w:before="104" w:after="40"/>
        <w:pBdr>
          <w:bottom w:val="single" w:sz="6" w:space="2" w:color="B9C3CF"/>
        </w:pBdr>
      </w:pPr>
      <w:r>
        <w:rPr>
          <w:rFonts w:ascii="Aptos" w:hAnsi="Aptos"/>
          <w:b/>
          <w:i w:val="0"/>
          <w:color w:val="00587A"/>
          <w:sz w:val="19"/>
        </w:rPr>
        <w:t>EDUCATION, LEADERSHIP &amp; CREDENTIALS</w:t>
      </w:r>
    </w:p>
    <w:tbl>
      <w:tblPr>
        <w:tblW w:type="dxa" w:w="10771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779"/>
      </w:tblGrid>
      <w:tr>
        <w:tc>
          <w:tcPr>
            <w:tcW w:type="dxa" w:w="799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1D24"/>
                <w:sz w:val="18"/>
              </w:rPr>
              <w:t>University of South Florida</w:t>
            </w:r>
            <w:r>
              <w:rPr>
                <w:rFonts w:ascii="Aptos" w:hAnsi="Aptos"/>
                <w:b w:val="0"/>
                <w:i w:val="0"/>
                <w:color w:val="535B66"/>
                <w:sz w:val="18"/>
              </w:rPr>
              <w:t xml:space="preserve"> - </w:t>
            </w:r>
            <w:r>
              <w:rPr>
                <w:rFonts w:ascii="Aptos" w:hAnsi="Aptos"/>
                <w:b w:val="0"/>
                <w:i w:val="0"/>
                <w:color w:val="171D24"/>
                <w:sz w:val="18"/>
              </w:rPr>
              <w:t>M.S., Computer &amp; Information Systems (Machine Learning)</w:t>
            </w:r>
          </w:p>
        </w:tc>
        <w:tc>
          <w:tcPr>
            <w:tcW w:type="dxa" w:w="277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535B66"/>
                <w:sz w:val="17"/>
              </w:rPr>
              <w:t>Dec 2022</w:t>
            </w:r>
          </w:p>
        </w:tc>
      </w:tr>
    </w:tbl>
    <w:p>
      <w:pPr>
        <w:pStyle w:val="ListBullet"/>
        <w:spacing w:after="20"/>
      </w:pPr>
      <w:r>
        <w:rPr>
          <w:rFonts w:ascii="Aptos" w:hAnsi="Aptos"/>
          <w:b w:val="0"/>
          <w:i w:val="0"/>
          <w:color w:val="171D24"/>
          <w:sz w:val="18"/>
        </w:rPr>
        <w:t>Technical Chairman, USF Society of Competitive Programmers - prepared and coached students for ICPC competitions, teaching data structures, algorithms, complexity analysis, correctness, and systematic problem solving under time constraints.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71D24"/>
          <w:sz w:val="18"/>
        </w:rPr>
        <w:t>Oracle Certified Professional, Java SE 8 Programmer II; Oracle Certified Associate, Java SE 8 Programmer | Bilingual English/Spanish</w:t>
      </w:r>
    </w:p>
    <w:sectPr w:rsidR="00FC693F" w:rsidRPr="0006063C" w:rsidSect="00034616">
      <w:footerReference w:type="default" r:id="rId9"/>
      <w:pgSz w:w="12240" w:h="15840"/>
      <w:pgMar w:top="547" w:right="734" w:bottom="547" w:left="7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6" w:line="245" w:lineRule="auto"/>
    </w:pPr>
    <w:rPr>
      <w:rFonts w:ascii="Aptos" w:hAnsi="Aptos"/>
      <w:color w:val="171D2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9" w:line="250" w:lineRule="auto"/>
      <w:ind w:left="317" w:hanging="202"/>
      <w:contextualSpacing/>
    </w:pPr>
    <w:rPr>
      <w:rFonts w:ascii="Aptos" w:hAnsi="Aptos"/>
      <w:color w:val="171D24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Nick Cinera - Resume</dc:title>
  <dc:subject>Trading systems and high-performance UI engineering</dc:subject>
  <dc:creator>Nick Cinera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