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i w:val="0"/>
          <w:color w:val="171D24"/>
          <w:sz w:val="37"/>
        </w:rPr>
        <w:t>NICK CINERA</w:t>
      </w:r>
    </w:p>
    <w:p>
      <w:pPr>
        <w:spacing w:after="40"/>
        <w:jc w:val="center"/>
      </w:pPr>
      <w:r>
        <w:rPr>
          <w:rFonts w:ascii="Aptos" w:hAnsi="Aptos"/>
          <w:b/>
          <w:i w:val="0"/>
          <w:color w:val="00587A"/>
          <w:sz w:val="19"/>
        </w:rPr>
        <w:t>Ingeniero de Sistemas de Trading | UI en Tiempo Real y Arquitectura Cliente/Servidor</w:t>
      </w:r>
    </w:p>
    <w:p>
      <w:pPr>
        <w:spacing w:after="68"/>
        <w:jc w:val="center"/>
      </w:pPr>
      <w:r>
        <w:rPr>
          <w:rFonts w:ascii="Aptos" w:hAnsi="Aptos"/>
          <w:b w:val="0"/>
          <w:i w:val="0"/>
          <w:color w:val="535B66"/>
          <w:sz w:val="17"/>
        </w:rPr>
        <w:t>Nueva York, NY | 386-212-8631 | nicolas.cinera@gmail.com | linkedin.com/in/nickcinera | github.com/Extrieve</w:t>
      </w:r>
    </w:p>
    <w:p>
      <w:pPr>
        <w:spacing w:after="88" w:line="250" w:lineRule="auto"/>
        <w:jc w:val="center"/>
      </w:pPr>
      <w:r>
        <w:rPr>
          <w:rFonts w:ascii="Aptos" w:hAnsi="Aptos"/>
          <w:b w:val="0"/>
          <w:i w:val="0"/>
          <w:color w:val="171D24"/>
          <w:sz w:val="17"/>
        </w:rPr>
        <w:t>Ingeniero de sistemas de trading con más de 3 años en Goldman Sachs creando plataformas críticas para derivados y mercados de capitales. Lidera soluciones React/TypeScript/AG Grid en la frontera cliente/servidor, con servicios Java/WebSocket, datos en tiempo real y migraciones controladas. Responsable desde requisitos y diseño hasta despliegue y soporte.</w:t>
      </w:r>
    </w:p>
    <w:p>
      <w:pPr>
        <w:spacing w:before="104" w:after="40"/>
        <w:pBdr>
          <w:bottom w:val="single" w:sz="6" w:space="2" w:color="B9C3CF"/>
        </w:pBdr>
      </w:pPr>
      <w:r>
        <w:rPr>
          <w:rFonts w:ascii="Aptos" w:hAnsi="Aptos"/>
          <w:b/>
          <w:i w:val="0"/>
          <w:color w:val="00587A"/>
          <w:sz w:val="19"/>
        </w:rPr>
        <w:t>EXPERIENCIA TÉCNICA</w:t>
      </w:r>
    </w:p>
    <w:p>
      <w:pPr>
        <w:spacing w:after="34" w:line="245" w:lineRule="auto"/>
        <w:ind w:left="43"/>
      </w:pPr>
      <w:r>
        <w:rPr>
          <w:rFonts w:ascii="Aptos" w:hAnsi="Aptos"/>
          <w:b/>
          <w:i w:val="0"/>
          <w:color w:val="00587A"/>
          <w:sz w:val="16"/>
        </w:rPr>
        <w:t xml:space="preserve">Frontend: </w:t>
      </w:r>
      <w:r>
        <w:rPr>
          <w:rFonts w:ascii="Aptos" w:hAnsi="Aptos"/>
          <w:b w:val="0"/>
          <w:i w:val="0"/>
          <w:color w:val="171D24"/>
          <w:sz w:val="16"/>
        </w:rPr>
        <w:t>React, TypeScript, JavaScript, Redux Toolkit, redux-observable/RxJS, AG Grid Enterprise, Module Federation, Cypress, Jest, Karma/Jasmine</w:t>
      </w:r>
    </w:p>
    <w:p>
      <w:pPr>
        <w:spacing w:after="34" w:line="245" w:lineRule="auto"/>
        <w:ind w:left="43"/>
      </w:pPr>
      <w:r>
        <w:rPr>
          <w:rFonts w:ascii="Aptos" w:hAnsi="Aptos"/>
          <w:b/>
          <w:i w:val="0"/>
          <w:color w:val="00587A"/>
          <w:sz w:val="16"/>
        </w:rPr>
        <w:t xml:space="preserve">Sistemas e integración: </w:t>
      </w:r>
      <w:r>
        <w:rPr>
          <w:rFonts w:ascii="Aptos" w:hAnsi="Aptos"/>
          <w:b w:val="0"/>
          <w:i w:val="0"/>
          <w:color w:val="171D24"/>
          <w:sz w:val="16"/>
        </w:rPr>
        <w:t>Java, WebSocket, REST, Node.js, Python, SQL, RxJS, arquitectura por eventos, proyecciones del servidor, suscripciones snapshot/delta y contratos tipados</w:t>
      </w:r>
    </w:p>
    <w:p>
      <w:pPr>
        <w:spacing w:after="34" w:line="245" w:lineRule="auto"/>
        <w:ind w:left="43"/>
      </w:pPr>
      <w:r>
        <w:rPr>
          <w:rFonts w:ascii="Aptos" w:hAnsi="Aptos"/>
          <w:b/>
          <w:i w:val="0"/>
          <w:color w:val="00587A"/>
          <w:sz w:val="16"/>
        </w:rPr>
        <w:t xml:space="preserve">Trading y entrega: </w:t>
      </w:r>
      <w:r>
        <w:rPr>
          <w:rFonts w:ascii="Aptos" w:hAnsi="Aptos"/>
          <w:b w:val="0"/>
          <w:i w:val="0"/>
          <w:color w:val="171D24"/>
          <w:sz w:val="16"/>
        </w:rPr>
        <w:t>Flujos RFQ/RFT/RFS de derivados, nuevas emisiones DCM, grillas de precios, modelado de flujos, CI/CD, LaunchDarkly, canary releases y producción</w:t>
      </w:r>
    </w:p>
    <w:p>
      <w:pPr>
        <w:spacing w:after="34" w:line="245" w:lineRule="auto"/>
        <w:ind w:left="43"/>
      </w:pPr>
      <w:r>
        <w:rPr>
          <w:rFonts w:ascii="Aptos" w:hAnsi="Aptos"/>
          <w:b/>
          <w:i w:val="0"/>
          <w:color w:val="00587A"/>
          <w:sz w:val="16"/>
        </w:rPr>
        <w:t xml:space="preserve">Liderazgo técnico: </w:t>
      </w:r>
      <w:r>
        <w:rPr>
          <w:rFonts w:ascii="Aptos" w:hAnsi="Aptos"/>
          <w:b w:val="0"/>
          <w:i w:val="0"/>
          <w:color w:val="171D24"/>
          <w:sz w:val="16"/>
        </w:rPr>
        <w:t>Responsabilidad integral, requisitos multifuncionales, migraciones arquitectónicas, pruebas, despliegue, soporte de producción, mentoría ICPC e IA con validación humana</w:t>
      </w:r>
    </w:p>
    <w:p>
      <w:pPr>
        <w:spacing w:before="104" w:after="40"/>
        <w:pBdr>
          <w:bottom w:val="single" w:sz="6" w:space="2" w:color="B9C3CF"/>
        </w:pBdr>
      </w:pPr>
      <w:r>
        <w:rPr>
          <w:rFonts w:ascii="Aptos" w:hAnsi="Aptos"/>
          <w:b/>
          <w:i w:val="0"/>
          <w:color w:val="00587A"/>
          <w:sz w:val="19"/>
        </w:rPr>
        <w:t>EXPERIENCIA PROFESIONAL</w:t>
      </w:r>
    </w:p>
    <w:tbl>
      <w:tblPr>
        <w:tblW w:type="dxa" w:w="10771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779"/>
      </w:tblGrid>
      <w:tr>
        <w:tc>
          <w:tcPr>
            <w:tcW w:type="dxa" w:w="799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1D24"/>
                <w:sz w:val="18"/>
              </w:rPr>
              <w:t>Goldman Sachs</w:t>
            </w:r>
            <w:r>
              <w:rPr>
                <w:rFonts w:ascii="Aptos" w:hAnsi="Aptos"/>
                <w:b w:val="0"/>
                <w:i w:val="0"/>
                <w:color w:val="535B66"/>
                <w:sz w:val="18"/>
              </w:rPr>
              <w:t xml:space="preserve"> - </w:t>
            </w:r>
            <w:r>
              <w:rPr>
                <w:rFonts w:ascii="Aptos" w:hAnsi="Aptos"/>
                <w:b w:val="0"/>
                <w:i w:val="0"/>
                <w:color w:val="171D24"/>
                <w:sz w:val="18"/>
              </w:rPr>
              <w:t>Ingeniero de Software, Mercados Globales - Equities</w:t>
            </w:r>
            <w:r>
              <w:rPr>
                <w:rFonts w:ascii="Aptos" w:hAnsi="Aptos"/>
                <w:b w:val="0"/>
                <w:i w:val="0"/>
                <w:color w:val="535B66"/>
                <w:sz w:val="17"/>
              </w:rPr>
              <w:t xml:space="preserve"> | Nueva York, NY</w:t>
            </w:r>
          </w:p>
        </w:tc>
        <w:tc>
          <w:tcPr>
            <w:tcW w:type="dxa" w:w="277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535B66"/>
                <w:sz w:val="17"/>
              </w:rPr>
              <w:t>abr. 2025 - actualidad</w:t>
            </w:r>
          </w:p>
        </w:tc>
      </w:tr>
    </w:tbl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Lidera la entrega e integración de una grilla de precios multi-leg en tiempo real para flujos RFQ/RFT/RFS, con React/TypeScript, AG Grid, Redux/RxJS y contratos Java/WebSocket tipados.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Lideró en el cliente la adopción de una arquitectura de tablas orientada a eventos y con autoridad en el servidor, manteniendo canaries y compatibilidad para el despliegue por mesa.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Construyó la capa configurable de renderización y edición para pestañas, tablas, vistas por leg, esquemas de columnas y metadatos enviados por el servidor.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Implementó ediciones tipadas con selectores, filtrado de no-ops, comandos durables al backend y una ruta separada de autocompletado y datos de referencia.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Integró suscripciones snapshot/delta versionadas y entrega de filas por un store RxJS externo en AG Grid, con controles de igualdad y estado obsoleto.</w:t>
      </w:r>
    </w:p>
    <w:p>
      <w:pPr>
        <w:pStyle w:val="ListBullet"/>
        <w:spacing w:after="64"/>
      </w:pPr>
      <w:r>
        <w:rPr>
          <w:rFonts w:ascii="Aptos" w:hAnsi="Aptos"/>
          <w:b w:val="0"/>
          <w:i w:val="0"/>
          <w:color w:val="171D24"/>
          <w:sz w:val="18"/>
        </w:rPr>
        <w:t>Entregó ~100 iniciativas de cliente, configuración, pruebas, releases y soporte en 12 meses, colaborando con equipos de backend y plataforma.</w:t>
      </w:r>
    </w:p>
    <w:tbl>
      <w:tblPr>
        <w:tblW w:type="dxa" w:w="10771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779"/>
      </w:tblGrid>
      <w:tr>
        <w:tc>
          <w:tcPr>
            <w:tcW w:type="dxa" w:w="799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1D24"/>
                <w:sz w:val="18"/>
              </w:rPr>
              <w:t>Goldman Sachs</w:t>
            </w:r>
            <w:r>
              <w:rPr>
                <w:rFonts w:ascii="Aptos" w:hAnsi="Aptos"/>
                <w:b w:val="0"/>
                <w:i w:val="0"/>
                <w:color w:val="535B66"/>
                <w:sz w:val="18"/>
              </w:rPr>
              <w:t xml:space="preserve"> - </w:t>
            </w:r>
            <w:r>
              <w:rPr>
                <w:rFonts w:ascii="Aptos" w:hAnsi="Aptos"/>
                <w:b w:val="0"/>
                <w:i w:val="0"/>
                <w:color w:val="171D24"/>
                <w:sz w:val="18"/>
              </w:rPr>
              <w:t>Ingeniero de Software, Banca de Inversión - DCM</w:t>
            </w:r>
            <w:r>
              <w:rPr>
                <w:rFonts w:ascii="Aptos" w:hAnsi="Aptos"/>
                <w:b w:val="0"/>
                <w:i w:val="0"/>
                <w:color w:val="535B66"/>
                <w:sz w:val="17"/>
              </w:rPr>
              <w:t xml:space="preserve"> | Nueva York, NY</w:t>
            </w:r>
          </w:p>
        </w:tc>
        <w:tc>
          <w:tcPr>
            <w:tcW w:type="dxa" w:w="277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535B66"/>
                <w:sz w:val="17"/>
              </w:rPr>
              <w:t>feb. 2023 - abr. 2025</w:t>
            </w:r>
          </w:p>
        </w:tc>
      </w:tr>
    </w:tbl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Fue responsable de dos aplicaciones de mercados de capitales para emisiones de bonos y préstamos, cubriendo inversores, demanda, precios, asignación, booking y P&amp;L/comisiones.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Desarrolló flujos densos con React/TypeScript, AG Grid, Redux y Module Federation, integrando tiempo real, REST, autorización y reglas financieras.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Creó preferencias y exportación reutilizables que conservaron layouts y mantuvieron CSV/Excel alineado con la vista.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Entregó flujos integrales de P&amp;L/comisiones e inversores, con navegación por teclado, cambios pendientes, multidivisa, API, autorización y exportación.</w:t>
      </w:r>
    </w:p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Operó un host de Module Federation y paquetes versionados en desarrollo, QA y producción, con pruebas CI por rama.</w:t>
      </w:r>
    </w:p>
    <w:p>
      <w:pPr>
        <w:pStyle w:val="ListBullet"/>
        <w:spacing w:after="64"/>
      </w:pPr>
      <w:r>
        <w:rPr>
          <w:rFonts w:ascii="Aptos" w:hAnsi="Aptos"/>
          <w:b w:val="0"/>
          <w:i w:val="0"/>
          <w:color w:val="171D24"/>
          <w:sz w:val="18"/>
        </w:rPr>
        <w:t>Lideró migraciones React 17-18 y AG Grid 23-30, además de Node, estilos, feature flags y toolkits compartidos.</w:t>
      </w:r>
    </w:p>
    <w:tbl>
      <w:tblPr>
        <w:tblW w:type="dxa" w:w="10771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779"/>
      </w:tblGrid>
      <w:tr>
        <w:tc>
          <w:tcPr>
            <w:tcW w:type="dxa" w:w="799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1D24"/>
                <w:sz w:val="18"/>
              </w:rPr>
              <w:t>Goldman Sachs</w:t>
            </w:r>
            <w:r>
              <w:rPr>
                <w:rFonts w:ascii="Aptos" w:hAnsi="Aptos"/>
                <w:b w:val="0"/>
                <w:i w:val="0"/>
                <w:color w:val="535B66"/>
                <w:sz w:val="18"/>
              </w:rPr>
              <w:t xml:space="preserve"> - </w:t>
            </w:r>
            <w:r>
              <w:rPr>
                <w:rFonts w:ascii="Aptos" w:hAnsi="Aptos"/>
                <w:b w:val="0"/>
                <w:i w:val="0"/>
                <w:color w:val="171D24"/>
                <w:sz w:val="18"/>
              </w:rPr>
              <w:t>Pasante de Ingeniería de Software</w:t>
            </w:r>
            <w:r>
              <w:rPr>
                <w:rFonts w:ascii="Aptos" w:hAnsi="Aptos"/>
                <w:b w:val="0"/>
                <w:i w:val="0"/>
                <w:color w:val="535B66"/>
                <w:sz w:val="17"/>
              </w:rPr>
              <w:t xml:space="preserve"> | Dallas, TX</w:t>
            </w:r>
          </w:p>
        </w:tc>
        <w:tc>
          <w:tcPr>
            <w:tcW w:type="dxa" w:w="277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535B66"/>
                <w:sz w:val="17"/>
              </w:rPr>
              <w:t>jun. 2022 - ago. 2022</w:t>
            </w:r>
          </w:p>
        </w:tc>
      </w:tr>
    </w:tbl>
    <w:p>
      <w:pPr>
        <w:pStyle w:val="ListBullet"/>
        <w:spacing w:after="47"/>
      </w:pPr>
      <w:r>
        <w:rPr>
          <w:rFonts w:ascii="Aptos" w:hAnsi="Aptos"/>
          <w:b w:val="0"/>
          <w:i w:val="0"/>
          <w:color w:val="171D24"/>
          <w:sz w:val="18"/>
        </w:rPr>
        <w:t>Recibió una oferta de regreso tras adquirir experiencia de ingeniería en producción dentro de servicios financieros regulados.</w:t>
      </w:r>
    </w:p>
    <w:p>
      <w:pPr>
        <w:spacing w:before="104" w:after="40"/>
        <w:pBdr>
          <w:bottom w:val="single" w:sz="6" w:space="2" w:color="B9C3CF"/>
        </w:pBdr>
      </w:pPr>
      <w:r>
        <w:rPr>
          <w:rFonts w:ascii="Aptos" w:hAnsi="Aptos"/>
          <w:b/>
          <w:i w:val="0"/>
          <w:color w:val="00587A"/>
          <w:sz w:val="19"/>
        </w:rPr>
        <w:t>FORMACIÓN, LIDERAZGO Y CERTIFICACIONES</w:t>
      </w:r>
    </w:p>
    <w:tbl>
      <w:tblPr>
        <w:tblW w:type="dxa" w:w="10771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779"/>
      </w:tblGrid>
      <w:tr>
        <w:tc>
          <w:tcPr>
            <w:tcW w:type="dxa" w:w="799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1D24"/>
                <w:sz w:val="18"/>
              </w:rPr>
              <w:t>University of South Florida</w:t>
            </w:r>
            <w:r>
              <w:rPr>
                <w:rFonts w:ascii="Aptos" w:hAnsi="Aptos"/>
                <w:b w:val="0"/>
                <w:i w:val="0"/>
                <w:color w:val="535B66"/>
                <w:sz w:val="18"/>
              </w:rPr>
              <w:t xml:space="preserve"> - </w:t>
            </w:r>
            <w:r>
              <w:rPr>
                <w:rFonts w:ascii="Aptos" w:hAnsi="Aptos"/>
                <w:b w:val="0"/>
                <w:i w:val="0"/>
                <w:color w:val="171D24"/>
                <w:sz w:val="18"/>
              </w:rPr>
              <w:t>M.S. en Sistemas de Computación e Información (Aprendizaje Automático)</w:t>
            </w:r>
          </w:p>
        </w:tc>
        <w:tc>
          <w:tcPr>
            <w:tcW w:type="dxa" w:w="277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535B66"/>
                <w:sz w:val="17"/>
              </w:rPr>
              <w:t>dic. 2022</w:t>
            </w:r>
          </w:p>
        </w:tc>
      </w:tr>
    </w:tbl>
    <w:p>
      <w:pPr>
        <w:pStyle w:val="ListBullet"/>
        <w:spacing w:after="20"/>
      </w:pPr>
      <w:r>
        <w:rPr>
          <w:rFonts w:ascii="Aptos" w:hAnsi="Aptos"/>
          <w:b w:val="0"/>
          <w:i w:val="0"/>
          <w:color w:val="171D24"/>
          <w:sz w:val="18"/>
        </w:rPr>
        <w:t>Presidente Técnico, Society of Competitive Programmers de USF: preparó y entrenó a estudiantes para competencias ICPC, enseñando estructuras de datos, algoritmos, análisis de complejidad, correctitud y resolución sistemática de problemas bajo restricciones de tiempo.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71D24"/>
          <w:sz w:val="18"/>
        </w:rPr>
        <w:t>Oracle Certified Professional, Java SE 8 Programmer II; Oracle Certified Associate, Java SE 8 Programmer | Bilingüe: inglés y español</w:t>
      </w:r>
    </w:p>
    <w:sectPr w:rsidR="00FC693F" w:rsidRPr="0006063C" w:rsidSect="00034616">
      <w:footerReference w:type="default" r:id="rId9"/>
      <w:pgSz w:w="12240" w:h="15840"/>
      <w:pgMar w:top="547" w:right="734" w:bottom="547" w:left="7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6" w:line="245" w:lineRule="auto"/>
    </w:pPr>
    <w:rPr>
      <w:rFonts w:ascii="Aptos" w:hAnsi="Aptos"/>
      <w:color w:val="171D2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9" w:line="250" w:lineRule="auto"/>
      <w:ind w:left="317" w:hanging="202"/>
      <w:contextualSpacing/>
    </w:pPr>
    <w:rPr>
      <w:rFonts w:ascii="Aptos" w:hAnsi="Aptos"/>
      <w:color w:val="171D24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Nick Cinera - Currículum</dc:title>
  <dc:subject>Sistemas de trading en tiempo real y arquitectura cliente/servidor</dc:subject>
  <dc:creator>Nick Cinera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</dc:language>
</cp:coreProperties>
</file>