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rFonts w:ascii="Calibri" w:hAnsi="Calibri"/>
          <w:b/>
          <w:i w:val="0"/>
          <w:color w:val="183153"/>
          <w:sz w:val="52"/>
        </w:rPr>
        <w:t>AUDITORÍA TÉCNICA INTEGRAL</w:t>
      </w:r>
    </w:p>
    <w:p>
      <w:pPr>
        <w:spacing w:after="440"/>
      </w:pPr>
      <w:r>
        <w:rPr>
          <w:rFonts w:ascii="Calibri" w:hAnsi="Calibri"/>
          <w:b w:val="0"/>
          <w:i w:val="0"/>
          <w:color w:val="5F6B78"/>
          <w:sz w:val="28"/>
        </w:rPr>
        <w:t>GamificApp · Arquitectura, calidad, seguridad, mantenibilidad y QA</w:t>
      </w:r>
    </w:p>
    <w:p>
      <w:pPr>
        <w:spacing w:after="60"/>
      </w:pPr>
      <w:r>
        <w:rPr>
          <w:rFonts w:ascii="Calibri" w:hAnsi="Calibri"/>
          <w:b/>
          <w:i w:val="0"/>
          <w:color w:val="183153"/>
          <w:sz w:val="22"/>
        </w:rPr>
        <w:t xml:space="preserve">Proyecto: </w:t>
      </w:r>
      <w:r>
        <w:rPr>
          <w:rFonts w:ascii="Calibri" w:hAnsi="Calibri"/>
          <w:b w:val="0"/>
          <w:i w:val="0"/>
          <w:color w:val="1F2937"/>
          <w:sz w:val="22"/>
        </w:rPr>
        <w:t>GamificApp</w:t>
      </w:r>
    </w:p>
    <w:p>
      <w:pPr>
        <w:spacing w:after="60"/>
      </w:pPr>
      <w:r>
        <w:rPr>
          <w:rFonts w:ascii="Calibri" w:hAnsi="Calibri"/>
          <w:b/>
          <w:i w:val="0"/>
          <w:color w:val="183153"/>
          <w:sz w:val="22"/>
        </w:rPr>
        <w:t xml:space="preserve">Fase: </w:t>
      </w:r>
      <w:r>
        <w:rPr>
          <w:rFonts w:ascii="Calibri" w:hAnsi="Calibri"/>
          <w:b w:val="0"/>
          <w:i w:val="0"/>
          <w:color w:val="1F2937"/>
          <w:sz w:val="22"/>
        </w:rPr>
        <w:t>Cierre de desarrollo / preparación para entrega</w:t>
      </w:r>
    </w:p>
    <w:p>
      <w:pPr>
        <w:spacing w:after="60"/>
      </w:pPr>
      <w:r>
        <w:rPr>
          <w:rFonts w:ascii="Calibri" w:hAnsi="Calibri"/>
          <w:b/>
          <w:i w:val="0"/>
          <w:color w:val="183153"/>
          <w:sz w:val="22"/>
        </w:rPr>
        <w:t xml:space="preserve">Fecha de revisión: </w:t>
      </w:r>
      <w:r>
        <w:rPr>
          <w:rFonts w:ascii="Calibri" w:hAnsi="Calibri"/>
          <w:b w:val="0"/>
          <w:i w:val="0"/>
          <w:color w:val="1F2937"/>
          <w:sz w:val="22"/>
        </w:rPr>
        <w:t>8 de julio de 2026</w:t>
      </w:r>
    </w:p>
    <w:p>
      <w:pPr>
        <w:spacing w:after="60"/>
      </w:pPr>
      <w:r>
        <w:rPr>
          <w:rFonts w:ascii="Calibri" w:hAnsi="Calibri"/>
          <w:b/>
          <w:i w:val="0"/>
          <w:color w:val="183153"/>
          <w:sz w:val="22"/>
        </w:rPr>
        <w:t xml:space="preserve">Alcance: </w:t>
      </w:r>
      <w:r>
        <w:rPr>
          <w:rFonts w:ascii="Calibri" w:hAnsi="Calibri"/>
          <w:b w:val="0"/>
          <w:i w:val="0"/>
          <w:color w:val="1F2937"/>
          <w:sz w:val="22"/>
        </w:rPr>
        <w:t>Frontend, API, base de datos, estilos, documentación y configuración</w:t>
      </w:r>
    </w:p>
    <w:p>
      <w:pPr>
        <w:spacing w:after="60"/>
      </w:pPr>
      <w:r>
        <w:rPr>
          <w:rFonts w:ascii="Calibri" w:hAnsi="Calibri"/>
          <w:b/>
          <w:i w:val="0"/>
          <w:color w:val="183153"/>
          <w:sz w:val="22"/>
        </w:rPr>
        <w:t xml:space="preserve">Método: </w:t>
      </w:r>
      <w:r>
        <w:rPr>
          <w:rFonts w:ascii="Calibri" w:hAnsi="Calibri"/>
          <w:b w:val="0"/>
          <w:i w:val="0"/>
          <w:color w:val="1F2937"/>
          <w:sz w:val="22"/>
        </w:rPr>
        <w:t>Auditoría estática de solo lectura</w:t>
      </w:r>
    </w:p>
    <w:p>
      <w:pPr>
        <w:spacing w:after="240"/>
      </w:pP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EEF5"/>
          </w:tcPr>
          <w:p>
            <w:pPr>
              <w:spacing w:after="0"/>
            </w:pPr>
            <w:r>
              <w:rPr>
                <w:rFonts w:ascii="Calibri" w:hAnsi="Calibri"/>
                <w:b/>
                <w:i w:val="0"/>
                <w:color w:val="183153"/>
                <w:sz w:val="22"/>
              </w:rPr>
              <w:t xml:space="preserve">Conclusión ejecutiva. </w:t>
            </w:r>
            <w:r>
              <w:rPr>
                <w:rFonts w:ascii="Calibri" w:hAnsi="Calibri"/>
                <w:b w:val="0"/>
                <w:i w:val="0"/>
                <w:color w:val="263442"/>
                <w:sz w:val="22"/>
              </w:rPr>
              <w:t>La aplicación presenta una arquitectura válida para un MVP y una cobertura funcional avanzada. No obstante, antes del cierre definitivo deben atenderse riesgos de integridad del sistema de XP, autorización sobre datos de estudiantes, aislamiento de caché por usuario y ausencia de pruebas automatizadas.</w:t>
            </w:r>
          </w:p>
        </w:tc>
      </w:tr>
    </w:tbl>
    <w:p>
      <w:pPr>
        <w:spacing w:after="0"/>
      </w:pPr>
    </w:p>
    <w:p>
      <w:pPr>
        <w:pStyle w:val="Heading1"/>
      </w:pPr>
      <w:r>
        <w:t>1. Alcance y limitaciones</w:t>
      </w:r>
    </w:p>
    <w:p>
      <w:r>
        <w:t>La auditoría comprendió la estructura completa del repositorio, configuración, documentación vigente, frontend React, servicios de cliente, API Express, middleware de autenticación y autorización, rutas, esquema MySQL y hojas de estilo.</w:t>
      </w:r>
    </w:p>
    <w:p>
      <w:pPr>
        <w:pStyle w:val="ListBullet"/>
        <w:spacing w:after="100"/>
        <w:ind w:left="720" w:hanging="360"/>
      </w:pPr>
      <w:r>
        <w:rPr>
          <w:rFonts w:ascii="Calibri" w:hAnsi="Calibri"/>
          <w:b w:val="0"/>
          <w:i w:val="0"/>
          <w:color w:val="1F2937"/>
          <w:sz w:val="22"/>
        </w:rPr>
        <w:t>No se modificó ningún archivo fuente durante la auditoría.</w:t>
      </w:r>
    </w:p>
    <w:p>
      <w:pPr>
        <w:pStyle w:val="ListBullet"/>
        <w:spacing w:after="100"/>
        <w:ind w:left="720" w:hanging="360"/>
      </w:pPr>
      <w:r>
        <w:rPr>
          <w:rFonts w:ascii="Calibri" w:hAnsi="Calibri"/>
          <w:b w:val="0"/>
          <w:i w:val="0"/>
          <w:color w:val="1F2937"/>
          <w:sz w:val="22"/>
        </w:rPr>
        <w:t>Se ejecutó ESLint en modo de solo lectura; el análisis produjo 40 errores.</w:t>
      </w:r>
    </w:p>
    <w:p>
      <w:pPr>
        <w:pStyle w:val="ListBullet"/>
        <w:spacing w:after="100"/>
        <w:ind w:left="720" w:hanging="360"/>
      </w:pPr>
      <w:r>
        <w:rPr>
          <w:rFonts w:ascii="Calibri" w:hAnsi="Calibri"/>
          <w:b w:val="0"/>
          <w:i w:val="0"/>
          <w:color w:val="1F2937"/>
          <w:sz w:val="22"/>
        </w:rPr>
        <w:t>No se ejecutó el build, porque habría generado el directorio dist y alterado el espacio de trabajo.</w:t>
      </w:r>
    </w:p>
    <w:p>
      <w:pPr>
        <w:pStyle w:val="ListBullet"/>
        <w:spacing w:after="100"/>
        <w:ind w:left="720" w:hanging="360"/>
      </w:pPr>
      <w:r>
        <w:rPr>
          <w:rFonts w:ascii="Calibri" w:hAnsi="Calibri"/>
          <w:b w:val="0"/>
          <w:i w:val="0"/>
          <w:color w:val="1F2937"/>
          <w:sz w:val="22"/>
        </w:rPr>
        <w:t>La revisión fue estática: no incluyó pruebas con base de datos de producción ni ataques activos sobre servicios desplegados.</w:t>
      </w:r>
    </w:p>
    <w:p>
      <w:pPr>
        <w:pStyle w:val="Heading1"/>
      </w:pPr>
      <w:r>
        <w:t>2. Arquitectura comprendida</w:t>
      </w:r>
    </w:p>
    <w:p>
      <w:r>
        <w:t>GamificApp es una SPA construida con React 19 y Vite. Expone tres experiencias por rol desde una ruta protegida única. El backend es una API REST Express, protegida mediante JWT y conectada a MySQL. Los retos almacenan configuraciones polimórficas en JSON y el progreso se registra transaccionalmente.</w:t>
      </w:r>
    </w:p>
    <w:tbl>
      <w:tblPr>
        <w:tblW w:type="dxa" w:w="9360"/>
        <w:jc w:val="left"/>
        <w:tblLayout w:type="fixed"/>
        <w:tblLook w:firstColumn="1" w:firstRow="1" w:lastColumn="0" w:lastRow="0" w:noHBand="0" w:noVBand="1" w:val="04A0"/>
        <w:tblInd w:w="120" w:type="dxa"/>
      </w:tblPr>
      <w:tblGrid>
        <w:gridCol w:w="1800"/>
        <w:gridCol w:w="3000"/>
        <w:gridCol w:w="4560"/>
      </w:tblGrid>
      <w:tr>
        <w:trPr>
          <w:tblHeader w:val="true"/>
          <w:cantSplit/>
        </w:trPr>
        <w:tc>
          <w:tcPr>
            <w:tcW w:type="dxa" w:w="1800"/>
            <w:shd w:fill="E8EEF5"/>
            <w:tcMar>
              <w:top w:w="80" w:type="dxa"/>
              <w:start w:w="120" w:type="dxa"/>
              <w:bottom w:w="80" w:type="dxa"/>
              <w:end w:w="120" w:type="dxa"/>
            </w:tcMar>
            <w:vAlign w:val="center"/>
          </w:tcPr>
          <w:p>
            <w:r>
              <w:rPr>
                <w:rFonts w:ascii="Calibri" w:hAnsi="Calibri"/>
                <w:b/>
                <w:i w:val="0"/>
                <w:color w:val="183153"/>
                <w:sz w:val="20"/>
              </w:rPr>
              <w:t>Capa</w:t>
            </w:r>
          </w:p>
        </w:tc>
        <w:tc>
          <w:tcPr>
            <w:tcW w:type="dxa" w:w="3000"/>
            <w:shd w:fill="E8EEF5"/>
            <w:tcMar>
              <w:top w:w="80" w:type="dxa"/>
              <w:start w:w="120" w:type="dxa"/>
              <w:bottom w:w="80" w:type="dxa"/>
              <w:end w:w="120" w:type="dxa"/>
            </w:tcMar>
            <w:vAlign w:val="center"/>
          </w:tcPr>
          <w:p>
            <w:r>
              <w:rPr>
                <w:rFonts w:ascii="Calibri" w:hAnsi="Calibri"/>
                <w:b/>
                <w:i w:val="0"/>
                <w:color w:val="183153"/>
                <w:sz w:val="20"/>
              </w:rPr>
              <w:t>Implementación</w:t>
            </w:r>
          </w:p>
        </w:tc>
        <w:tc>
          <w:tcPr>
            <w:tcW w:type="dxa" w:w="4560"/>
            <w:shd w:fill="E8EEF5"/>
            <w:tcMar>
              <w:top w:w="80" w:type="dxa"/>
              <w:start w:w="120" w:type="dxa"/>
              <w:bottom w:w="80" w:type="dxa"/>
              <w:end w:w="120" w:type="dxa"/>
            </w:tcMar>
            <w:vAlign w:val="center"/>
          </w:tcPr>
          <w:p>
            <w:r>
              <w:rPr>
                <w:rFonts w:ascii="Calibri" w:hAnsi="Calibri"/>
                <w:b/>
                <w:i w:val="0"/>
                <w:color w:val="183153"/>
                <w:sz w:val="20"/>
              </w:rPr>
              <w:t>Observación</w:t>
            </w:r>
          </w:p>
        </w:tc>
      </w:tr>
      <w:tr>
        <w:trPr>
          <w:cantSplit/>
        </w:trPr>
        <w:tc>
          <w:tcPr>
            <w:tcW w:type="dxa" w:w="1800"/>
            <w:tcMar>
              <w:top w:w="80" w:type="dxa"/>
              <w:start w:w="120" w:type="dxa"/>
              <w:bottom w:w="80" w:type="dxa"/>
              <w:end w:w="120" w:type="dxa"/>
            </w:tcMar>
            <w:vAlign w:val="center"/>
          </w:tcPr>
          <w:p>
            <w:r>
              <w:rPr>
                <w:rFonts w:ascii="Calibri" w:hAnsi="Calibri"/>
                <w:b w:val="0"/>
                <w:i w:val="0"/>
                <w:color w:val="1F2937"/>
                <w:sz w:val="19"/>
              </w:rPr>
              <w:t>Frontend</w:t>
            </w:r>
          </w:p>
        </w:tc>
        <w:tc>
          <w:tcPr>
            <w:tcW w:type="dxa" w:w="3000"/>
            <w:tcMar>
              <w:top w:w="80" w:type="dxa"/>
              <w:start w:w="120" w:type="dxa"/>
              <w:bottom w:w="80" w:type="dxa"/>
              <w:end w:w="120" w:type="dxa"/>
            </w:tcMar>
            <w:vAlign w:val="center"/>
          </w:tcPr>
          <w:p>
            <w:r>
              <w:rPr>
                <w:rFonts w:ascii="Calibri" w:hAnsi="Calibri"/>
                <w:b w:val="0"/>
                <w:i w:val="0"/>
                <w:color w:val="1F2937"/>
                <w:sz w:val="19"/>
              </w:rPr>
              <w:t>React 19, Vite, React Router, MUI y CSS plano</w:t>
            </w:r>
          </w:p>
        </w:tc>
        <w:tc>
          <w:tcPr>
            <w:tcW w:type="dxa" w:w="4560"/>
            <w:tcMar>
              <w:top w:w="80" w:type="dxa"/>
              <w:start w:w="120" w:type="dxa"/>
              <w:bottom w:w="80" w:type="dxa"/>
              <w:end w:w="120" w:type="dxa"/>
            </w:tcMar>
            <w:vAlign w:val="center"/>
          </w:tcPr>
          <w:p>
            <w:r>
              <w:rPr>
                <w:rFonts w:ascii="Calibri" w:hAnsi="Calibri"/>
                <w:b w:val="0"/>
                <w:i w:val="0"/>
                <w:color w:val="1F2937"/>
                <w:sz w:val="19"/>
              </w:rPr>
              <w:t>Tres rutas; navegación interna mediante estado local.</w:t>
            </w:r>
          </w:p>
        </w:tc>
      </w:tr>
      <w:tr>
        <w:trPr>
          <w:cantSplit/>
        </w:trPr>
        <w:tc>
          <w:tcPr>
            <w:tcW w:type="dxa" w:w="1800"/>
            <w:tcMar>
              <w:top w:w="80" w:type="dxa"/>
              <w:start w:w="120" w:type="dxa"/>
              <w:bottom w:w="80" w:type="dxa"/>
              <w:end w:w="120" w:type="dxa"/>
            </w:tcMar>
            <w:vAlign w:val="center"/>
          </w:tcPr>
          <w:p>
            <w:r>
              <w:rPr>
                <w:rFonts w:ascii="Calibri" w:hAnsi="Calibri"/>
                <w:b w:val="0"/>
                <w:i w:val="0"/>
                <w:color w:val="1F2937"/>
                <w:sz w:val="19"/>
              </w:rPr>
              <w:t>Backend</w:t>
            </w:r>
          </w:p>
        </w:tc>
        <w:tc>
          <w:tcPr>
            <w:tcW w:type="dxa" w:w="3000"/>
            <w:tcMar>
              <w:top w:w="80" w:type="dxa"/>
              <w:start w:w="120" w:type="dxa"/>
              <w:bottom w:w="80" w:type="dxa"/>
              <w:end w:w="120" w:type="dxa"/>
            </w:tcMar>
            <w:vAlign w:val="center"/>
          </w:tcPr>
          <w:p>
            <w:r>
              <w:rPr>
                <w:rFonts w:ascii="Calibri" w:hAnsi="Calibri"/>
                <w:b w:val="0"/>
                <w:i w:val="0"/>
                <w:color w:val="1F2937"/>
                <w:sz w:val="19"/>
              </w:rPr>
              <w:t>Node.js, Express, JWT y bcryptjs</w:t>
            </w:r>
          </w:p>
        </w:tc>
        <w:tc>
          <w:tcPr>
            <w:tcW w:type="dxa" w:w="4560"/>
            <w:tcMar>
              <w:top w:w="80" w:type="dxa"/>
              <w:start w:w="120" w:type="dxa"/>
              <w:bottom w:w="80" w:type="dxa"/>
              <w:end w:w="120" w:type="dxa"/>
            </w:tcMar>
            <w:vAlign w:val="center"/>
          </w:tcPr>
          <w:p>
            <w:r>
              <w:rPr>
                <w:rFonts w:ascii="Calibri" w:hAnsi="Calibri"/>
                <w:b w:val="0"/>
                <w:i w:val="0"/>
                <w:color w:val="1F2937"/>
                <w:sz w:val="19"/>
              </w:rPr>
              <w:t>Middleware JWT global tras las rutas públicas de autenticación.</w:t>
            </w:r>
          </w:p>
        </w:tc>
      </w:tr>
      <w:tr>
        <w:trPr>
          <w:cantSplit/>
        </w:trPr>
        <w:tc>
          <w:tcPr>
            <w:tcW w:type="dxa" w:w="1800"/>
            <w:tcMar>
              <w:top w:w="80" w:type="dxa"/>
              <w:start w:w="120" w:type="dxa"/>
              <w:bottom w:w="80" w:type="dxa"/>
              <w:end w:w="120" w:type="dxa"/>
            </w:tcMar>
            <w:vAlign w:val="center"/>
          </w:tcPr>
          <w:p>
            <w:r>
              <w:rPr>
                <w:rFonts w:ascii="Calibri" w:hAnsi="Calibri"/>
                <w:b w:val="0"/>
                <w:i w:val="0"/>
                <w:color w:val="1F2937"/>
                <w:sz w:val="19"/>
              </w:rPr>
              <w:t>Datos</w:t>
            </w:r>
          </w:p>
        </w:tc>
        <w:tc>
          <w:tcPr>
            <w:tcW w:type="dxa" w:w="3000"/>
            <w:tcMar>
              <w:top w:w="80" w:type="dxa"/>
              <w:start w:w="120" w:type="dxa"/>
              <w:bottom w:w="80" w:type="dxa"/>
              <w:end w:w="120" w:type="dxa"/>
            </w:tcMar>
            <w:vAlign w:val="center"/>
          </w:tcPr>
          <w:p>
            <w:r>
              <w:rPr>
                <w:rFonts w:ascii="Calibri" w:hAnsi="Calibri"/>
                <w:b w:val="0"/>
                <w:i w:val="0"/>
                <w:color w:val="1F2937"/>
                <w:sz w:val="19"/>
              </w:rPr>
              <w:t>MySQL</w:t>
            </w:r>
          </w:p>
        </w:tc>
        <w:tc>
          <w:tcPr>
            <w:tcW w:type="dxa" w:w="4560"/>
            <w:tcMar>
              <w:top w:w="80" w:type="dxa"/>
              <w:start w:w="120" w:type="dxa"/>
              <w:bottom w:w="80" w:type="dxa"/>
              <w:end w:w="120" w:type="dxa"/>
            </w:tcMar>
            <w:vAlign w:val="center"/>
          </w:tcPr>
          <w:p>
            <w:r>
              <w:rPr>
                <w:rFonts w:ascii="Calibri" w:hAnsi="Calibri"/>
                <w:b w:val="0"/>
                <w:i w:val="0"/>
                <w:color w:val="1F2937"/>
                <w:sz w:val="19"/>
              </w:rPr>
              <w:t>Retos JSON, progreso por estudiante y XP acumulado.</w:t>
            </w:r>
          </w:p>
        </w:tc>
      </w:tr>
      <w:tr>
        <w:trPr>
          <w:cantSplit/>
        </w:trPr>
        <w:tc>
          <w:tcPr>
            <w:tcW w:type="dxa" w:w="1800"/>
            <w:tcMar>
              <w:top w:w="80" w:type="dxa"/>
              <w:start w:w="120" w:type="dxa"/>
              <w:bottom w:w="80" w:type="dxa"/>
              <w:end w:w="120" w:type="dxa"/>
            </w:tcMar>
            <w:vAlign w:val="center"/>
          </w:tcPr>
          <w:p>
            <w:r>
              <w:rPr>
                <w:rFonts w:ascii="Calibri" w:hAnsi="Calibri"/>
                <w:b w:val="0"/>
                <w:i w:val="0"/>
                <w:color w:val="1F2937"/>
                <w:sz w:val="19"/>
              </w:rPr>
              <w:t>IA</w:t>
            </w:r>
          </w:p>
        </w:tc>
        <w:tc>
          <w:tcPr>
            <w:tcW w:type="dxa" w:w="3000"/>
            <w:tcMar>
              <w:top w:w="80" w:type="dxa"/>
              <w:start w:w="120" w:type="dxa"/>
              <w:bottom w:w="80" w:type="dxa"/>
              <w:end w:w="120" w:type="dxa"/>
            </w:tcMar>
            <w:vAlign w:val="center"/>
          </w:tcPr>
          <w:p>
            <w:r>
              <w:rPr>
                <w:rFonts w:ascii="Calibri" w:hAnsi="Calibri"/>
                <w:b w:val="0"/>
                <w:i w:val="0"/>
                <w:color w:val="1F2937"/>
                <w:sz w:val="19"/>
              </w:rPr>
              <w:t>Google Gemini desde el servidor</w:t>
            </w:r>
          </w:p>
        </w:tc>
        <w:tc>
          <w:tcPr>
            <w:tcW w:type="dxa" w:w="4560"/>
            <w:tcMar>
              <w:top w:w="80" w:type="dxa"/>
              <w:start w:w="120" w:type="dxa"/>
              <w:bottom w:w="80" w:type="dxa"/>
              <w:end w:w="120" w:type="dxa"/>
            </w:tcMar>
            <w:vAlign w:val="center"/>
          </w:tcPr>
          <w:p>
            <w:r>
              <w:rPr>
                <w:rFonts w:ascii="Calibri" w:hAnsi="Calibri"/>
                <w:b w:val="0"/>
                <w:i w:val="0"/>
                <w:color w:val="1F2937"/>
                <w:sz w:val="19"/>
              </w:rPr>
              <w:t>Generación de quiz y misión; endpoint de asistente aún presente.</w:t>
            </w:r>
          </w:p>
        </w:tc>
      </w:tr>
      <w:tr>
        <w:trPr>
          <w:cantSplit/>
        </w:trPr>
        <w:tc>
          <w:tcPr>
            <w:tcW w:type="dxa" w:w="1800"/>
            <w:tcMar>
              <w:top w:w="80" w:type="dxa"/>
              <w:start w:w="120" w:type="dxa"/>
              <w:bottom w:w="80" w:type="dxa"/>
              <w:end w:w="120" w:type="dxa"/>
            </w:tcMar>
            <w:vAlign w:val="center"/>
          </w:tcPr>
          <w:p>
            <w:r>
              <w:rPr>
                <w:rFonts w:ascii="Calibri" w:hAnsi="Calibri"/>
                <w:b w:val="0"/>
                <w:i w:val="0"/>
                <w:color w:val="1F2937"/>
                <w:sz w:val="19"/>
              </w:rPr>
              <w:t>Archivos</w:t>
            </w:r>
          </w:p>
        </w:tc>
        <w:tc>
          <w:tcPr>
            <w:tcW w:type="dxa" w:w="3000"/>
            <w:tcMar>
              <w:top w:w="80" w:type="dxa"/>
              <w:start w:w="120" w:type="dxa"/>
              <w:bottom w:w="80" w:type="dxa"/>
              <w:end w:w="120" w:type="dxa"/>
            </w:tcMar>
            <w:vAlign w:val="center"/>
          </w:tcPr>
          <w:p>
            <w:r>
              <w:rPr>
                <w:rFonts w:ascii="Calibri" w:hAnsi="Calibri"/>
                <w:b w:val="0"/>
                <w:i w:val="0"/>
                <w:color w:val="1F2937"/>
                <w:sz w:val="19"/>
              </w:rPr>
              <w:t>PDF.js y Mammoth</w:t>
            </w:r>
          </w:p>
        </w:tc>
        <w:tc>
          <w:tcPr>
            <w:tcW w:type="dxa" w:w="4560"/>
            <w:tcMar>
              <w:top w:w="80" w:type="dxa"/>
              <w:start w:w="120" w:type="dxa"/>
              <w:bottom w:w="80" w:type="dxa"/>
              <w:end w:w="120" w:type="dxa"/>
            </w:tcMar>
            <w:vAlign w:val="center"/>
          </w:tcPr>
          <w:p>
            <w:r>
              <w:rPr>
                <w:rFonts w:ascii="Calibri" w:hAnsi="Calibri"/>
                <w:b w:val="0"/>
                <w:i w:val="0"/>
                <w:color w:val="1F2937"/>
                <w:sz w:val="19"/>
              </w:rPr>
              <w:t>Documentos almacenados como data URL/base64 en MySQL.</w:t>
            </w:r>
          </w:p>
        </w:tc>
      </w:tr>
    </w:tbl>
    <w:p>
      <w:pPr>
        <w:pStyle w:val="Heading1"/>
      </w:pPr>
      <w:r>
        <w:t>3. Matriz de hallazgos prioritarios</w:t>
      </w:r>
    </w:p>
    <w:tbl>
      <w:tblPr>
        <w:tblW w:type="dxa" w:w="9360"/>
        <w:tblLayout w:type="fixed"/>
        <w:tblLook w:firstColumn="1" w:firstRow="1" w:lastColumn="0" w:lastRow="0" w:noHBand="0" w:noVBand="1" w:val="04A0"/>
        <w:tblInd w:w="120" w:type="dxa"/>
      </w:tblPr>
      <w:tblGrid>
        <w:gridCol w:w="780"/>
        <w:gridCol w:w="2040"/>
        <w:gridCol w:w="3180"/>
        <w:gridCol w:w="3360"/>
      </w:tblGrid>
      <w:tr>
        <w:trPr>
          <w:tblHeader w:val="true"/>
          <w:cantSplit/>
        </w:trPr>
        <w:tc>
          <w:tcPr>
            <w:tcW w:type="dxa" w:w="780"/>
            <w:shd w:fill="183153"/>
            <w:tcMar>
              <w:top w:w="80" w:type="dxa"/>
              <w:start w:w="120" w:type="dxa"/>
              <w:bottom w:w="80" w:type="dxa"/>
              <w:end w:w="120" w:type="dxa"/>
            </w:tcMar>
            <w:vAlign w:val="center"/>
          </w:tcPr>
          <w:p>
            <w:r>
              <w:rPr>
                <w:rFonts w:ascii="Calibri" w:hAnsi="Calibri"/>
                <w:b/>
                <w:i w:val="0"/>
                <w:color w:val="FFFFFF"/>
                <w:sz w:val="18"/>
              </w:rPr>
              <w:t>Severidad</w:t>
            </w:r>
          </w:p>
        </w:tc>
        <w:tc>
          <w:tcPr>
            <w:tcW w:type="dxa" w:w="2040"/>
            <w:shd w:fill="183153"/>
            <w:tcMar>
              <w:top w:w="80" w:type="dxa"/>
              <w:start w:w="120" w:type="dxa"/>
              <w:bottom w:w="80" w:type="dxa"/>
              <w:end w:w="120" w:type="dxa"/>
            </w:tcMar>
            <w:vAlign w:val="center"/>
          </w:tcPr>
          <w:p>
            <w:r>
              <w:rPr>
                <w:rFonts w:ascii="Calibri" w:hAnsi="Calibri"/>
                <w:b/>
                <w:i w:val="0"/>
                <w:color w:val="FFFFFF"/>
                <w:sz w:val="18"/>
              </w:rPr>
              <w:t>Hallazgo</w:t>
            </w:r>
          </w:p>
        </w:tc>
        <w:tc>
          <w:tcPr>
            <w:tcW w:type="dxa" w:w="3180"/>
            <w:shd w:fill="183153"/>
            <w:tcMar>
              <w:top w:w="80" w:type="dxa"/>
              <w:start w:w="120" w:type="dxa"/>
              <w:bottom w:w="80" w:type="dxa"/>
              <w:end w:w="120" w:type="dxa"/>
            </w:tcMar>
            <w:vAlign w:val="center"/>
          </w:tcPr>
          <w:p>
            <w:r>
              <w:rPr>
                <w:rFonts w:ascii="Calibri" w:hAnsi="Calibri"/>
                <w:b/>
                <w:i w:val="0"/>
                <w:color w:val="FFFFFF"/>
                <w:sz w:val="18"/>
              </w:rPr>
              <w:t>Impacto</w:t>
            </w:r>
          </w:p>
        </w:tc>
        <w:tc>
          <w:tcPr>
            <w:tcW w:type="dxa" w:w="3360"/>
            <w:shd w:fill="183153"/>
            <w:tcMar>
              <w:top w:w="80" w:type="dxa"/>
              <w:start w:w="120" w:type="dxa"/>
              <w:bottom w:w="80" w:type="dxa"/>
              <w:end w:w="120" w:type="dxa"/>
            </w:tcMar>
            <w:vAlign w:val="center"/>
          </w:tcPr>
          <w:p>
            <w:r>
              <w:rPr>
                <w:rFonts w:ascii="Calibri" w:hAnsi="Calibri"/>
                <w:b/>
                <w:i w:val="0"/>
                <w:color w:val="FFFFFF"/>
                <w:sz w:val="18"/>
              </w:rPr>
              <w:t>Acción recomendada</w:t>
            </w:r>
          </w:p>
        </w:tc>
      </w:tr>
      <w:tr>
        <w:trPr>
          <w:cantSplit/>
        </w:trPr>
        <w:tc>
          <w:tcPr>
            <w:tcW w:type="dxa" w:w="780"/>
            <w:tcMar>
              <w:top w:w="80" w:type="dxa"/>
              <w:start w:w="120" w:type="dxa"/>
              <w:bottom w:w="80" w:type="dxa"/>
              <w:end w:w="120" w:type="dxa"/>
            </w:tcMar>
            <w:vAlign w:val="center"/>
          </w:tcPr>
          <w:p>
            <w:r>
              <w:rPr>
                <w:rFonts w:ascii="Calibri" w:hAnsi="Calibri"/>
                <w:b/>
                <w:i w:val="0"/>
                <w:color w:val="9B1C1C"/>
                <w:sz w:val="18"/>
              </w:rPr>
              <w:t>P0</w:t>
            </w:r>
          </w:p>
        </w:tc>
        <w:tc>
          <w:tcPr>
            <w:tcW w:type="dxa" w:w="2040"/>
            <w:tcMar>
              <w:top w:w="80" w:type="dxa"/>
              <w:start w:w="120" w:type="dxa"/>
              <w:bottom w:w="80" w:type="dxa"/>
              <w:end w:w="120" w:type="dxa"/>
            </w:tcMar>
            <w:vAlign w:val="center"/>
          </w:tcPr>
          <w:p>
            <w:r>
              <w:rPr>
                <w:rFonts w:ascii="Calibri" w:hAnsi="Calibri"/>
                <w:b/>
                <w:i w:val="0"/>
                <w:color w:val="1F2937"/>
                <w:sz w:val="18"/>
              </w:rPr>
              <w:t>Puntaje controlado por el cliente</w:t>
            </w:r>
          </w:p>
        </w:tc>
        <w:tc>
          <w:tcPr>
            <w:tcW w:type="dxa" w:w="3180"/>
            <w:tcMar>
              <w:top w:w="80" w:type="dxa"/>
              <w:start w:w="120" w:type="dxa"/>
              <w:bottom w:w="80" w:type="dxa"/>
              <w:end w:w="120" w:type="dxa"/>
            </w:tcMar>
            <w:vAlign w:val="center"/>
          </w:tcPr>
          <w:p>
            <w:r>
              <w:rPr>
                <w:rFonts w:ascii="Calibri" w:hAnsi="Calibri"/>
                <w:b w:val="0"/>
                <w:i w:val="0"/>
                <w:color w:val="1F2937"/>
                <w:sz w:val="18"/>
              </w:rPr>
              <w:t>Un estudiante autenticado puede enviar puntos y alcanzar la recompensa máxima sin que el servidor verifique respuestas.</w:t>
            </w:r>
          </w:p>
        </w:tc>
        <w:tc>
          <w:tcPr>
            <w:tcW w:type="dxa" w:w="3360"/>
            <w:tcMar>
              <w:top w:w="80" w:type="dxa"/>
              <w:start w:w="120" w:type="dxa"/>
              <w:bottom w:w="80" w:type="dxa"/>
              <w:end w:w="120" w:type="dxa"/>
            </w:tcMar>
            <w:vAlign w:val="center"/>
          </w:tcPr>
          <w:p>
            <w:r>
              <w:rPr>
                <w:rFonts w:ascii="Calibri" w:hAnsi="Calibri"/>
                <w:b w:val="0"/>
                <w:i w:val="0"/>
                <w:color w:val="1F2937"/>
                <w:sz w:val="18"/>
              </w:rPr>
              <w:t>Calcular o validar el resultado en servidor; impedir creación de retos desde progreso.</w:t>
            </w:r>
          </w:p>
        </w:tc>
      </w:tr>
      <w:tr>
        <w:trPr>
          <w:cantSplit/>
        </w:trPr>
        <w:tc>
          <w:tcPr>
            <w:tcW w:type="dxa" w:w="780"/>
            <w:tcMar>
              <w:top w:w="80" w:type="dxa"/>
              <w:start w:w="120" w:type="dxa"/>
              <w:bottom w:w="80" w:type="dxa"/>
              <w:end w:w="120" w:type="dxa"/>
            </w:tcMar>
            <w:vAlign w:val="center"/>
          </w:tcPr>
          <w:p>
            <w:r>
              <w:rPr>
                <w:rFonts w:ascii="Calibri" w:hAnsi="Calibri"/>
                <w:b/>
                <w:i w:val="0"/>
                <w:color w:val="9B1C1C"/>
                <w:sz w:val="18"/>
              </w:rPr>
              <w:t>P0</w:t>
            </w:r>
          </w:p>
        </w:tc>
        <w:tc>
          <w:tcPr>
            <w:tcW w:type="dxa" w:w="2040"/>
            <w:tcMar>
              <w:top w:w="80" w:type="dxa"/>
              <w:start w:w="120" w:type="dxa"/>
              <w:bottom w:w="80" w:type="dxa"/>
              <w:end w:w="120" w:type="dxa"/>
            </w:tcMar>
            <w:vAlign w:val="center"/>
          </w:tcPr>
          <w:p>
            <w:r>
              <w:rPr>
                <w:rFonts w:ascii="Calibri" w:hAnsi="Calibri"/>
                <w:b/>
                <w:i w:val="0"/>
                <w:color w:val="1F2937"/>
                <w:sz w:val="18"/>
              </w:rPr>
              <w:t>Autorización docente-estudiante incompleta</w:t>
            </w:r>
          </w:p>
        </w:tc>
        <w:tc>
          <w:tcPr>
            <w:tcW w:type="dxa" w:w="3180"/>
            <w:tcMar>
              <w:top w:w="80" w:type="dxa"/>
              <w:start w:w="120" w:type="dxa"/>
              <w:bottom w:w="80" w:type="dxa"/>
              <w:end w:w="120" w:type="dxa"/>
            </w:tcMar>
            <w:vAlign w:val="center"/>
          </w:tcPr>
          <w:p>
            <w:r>
              <w:rPr>
                <w:rFonts w:ascii="Calibri" w:hAnsi="Calibri"/>
                <w:b w:val="0"/>
                <w:i w:val="0"/>
                <w:color w:val="1F2937"/>
                <w:sz w:val="18"/>
              </w:rPr>
              <w:t>Un docente puede consultar o registrar progreso de estudiantes sin validar relación, curso o materia.</w:t>
            </w:r>
          </w:p>
        </w:tc>
        <w:tc>
          <w:tcPr>
            <w:tcW w:type="dxa" w:w="3360"/>
            <w:tcMar>
              <w:top w:w="80" w:type="dxa"/>
              <w:start w:w="120" w:type="dxa"/>
              <w:bottom w:w="80" w:type="dxa"/>
              <w:end w:w="120" w:type="dxa"/>
            </w:tcMar>
            <w:vAlign w:val="center"/>
          </w:tcPr>
          <w:p>
            <w:r>
              <w:rPr>
                <w:rFonts w:ascii="Calibri" w:hAnsi="Calibri"/>
                <w:b w:val="0"/>
                <w:i w:val="0"/>
                <w:color w:val="1F2937"/>
                <w:sz w:val="18"/>
              </w:rPr>
              <w:t>Aplicar autorización contextual en lectura y escritura de progreso.</w:t>
            </w:r>
          </w:p>
        </w:tc>
      </w:tr>
      <w:tr>
        <w:trPr>
          <w:cantSplit/>
        </w:trPr>
        <w:tc>
          <w:tcPr>
            <w:tcW w:type="dxa" w:w="780"/>
            <w:tcMar>
              <w:top w:w="80" w:type="dxa"/>
              <w:start w:w="120" w:type="dxa"/>
              <w:bottom w:w="80" w:type="dxa"/>
              <w:end w:w="120" w:type="dxa"/>
            </w:tcMar>
            <w:vAlign w:val="center"/>
          </w:tcPr>
          <w:p>
            <w:r>
              <w:rPr>
                <w:rFonts w:ascii="Calibri" w:hAnsi="Calibri"/>
                <w:b/>
                <w:i w:val="0"/>
                <w:color w:val="8A6100"/>
                <w:sz w:val="18"/>
              </w:rPr>
              <w:t>P1</w:t>
            </w:r>
          </w:p>
        </w:tc>
        <w:tc>
          <w:tcPr>
            <w:tcW w:type="dxa" w:w="2040"/>
            <w:tcMar>
              <w:top w:w="80" w:type="dxa"/>
              <w:start w:w="120" w:type="dxa"/>
              <w:bottom w:w="80" w:type="dxa"/>
              <w:end w:w="120" w:type="dxa"/>
            </w:tcMar>
            <w:vAlign w:val="center"/>
          </w:tcPr>
          <w:p>
            <w:r>
              <w:rPr>
                <w:rFonts w:ascii="Calibri" w:hAnsi="Calibri"/>
                <w:b/>
                <w:i w:val="0"/>
                <w:color w:val="1F2937"/>
                <w:sz w:val="18"/>
              </w:rPr>
              <w:t>Caché compartido entre cuentas</w:t>
            </w:r>
          </w:p>
        </w:tc>
        <w:tc>
          <w:tcPr>
            <w:tcW w:type="dxa" w:w="3180"/>
            <w:tcMar>
              <w:top w:w="80" w:type="dxa"/>
              <w:start w:w="120" w:type="dxa"/>
              <w:bottom w:w="80" w:type="dxa"/>
              <w:end w:w="120" w:type="dxa"/>
            </w:tcMar>
            <w:vAlign w:val="center"/>
          </w:tcPr>
          <w:p>
            <w:r>
              <w:rPr>
                <w:rFonts w:ascii="Calibri" w:hAnsi="Calibri"/>
                <w:b w:val="0"/>
                <w:i w:val="0"/>
                <w:color w:val="1F2937"/>
                <w:sz w:val="18"/>
              </w:rPr>
              <w:t>XP, logros y actividades usan claves globales de localStorage y sobreviven al cierre de sesión.</w:t>
            </w:r>
          </w:p>
        </w:tc>
        <w:tc>
          <w:tcPr>
            <w:tcW w:type="dxa" w:w="3360"/>
            <w:tcMar>
              <w:top w:w="80" w:type="dxa"/>
              <w:start w:w="120" w:type="dxa"/>
              <w:bottom w:w="80" w:type="dxa"/>
              <w:end w:w="120" w:type="dxa"/>
            </w:tcMar>
            <w:vAlign w:val="center"/>
          </w:tcPr>
          <w:p>
            <w:r>
              <w:rPr>
                <w:rFonts w:ascii="Calibri" w:hAnsi="Calibri"/>
                <w:b w:val="0"/>
                <w:i w:val="0"/>
                <w:color w:val="1F2937"/>
                <w:sz w:val="18"/>
              </w:rPr>
              <w:t>Aislar por usuario o eliminar caché sensible; limpiar sesión completamente.</w:t>
            </w:r>
          </w:p>
        </w:tc>
      </w:tr>
      <w:tr>
        <w:trPr>
          <w:cantSplit/>
        </w:trPr>
        <w:tc>
          <w:tcPr>
            <w:tcW w:type="dxa" w:w="780"/>
            <w:tcMar>
              <w:top w:w="80" w:type="dxa"/>
              <w:start w:w="120" w:type="dxa"/>
              <w:bottom w:w="80" w:type="dxa"/>
              <w:end w:w="120" w:type="dxa"/>
            </w:tcMar>
            <w:vAlign w:val="center"/>
          </w:tcPr>
          <w:p>
            <w:r>
              <w:rPr>
                <w:rFonts w:ascii="Calibri" w:hAnsi="Calibri"/>
                <w:b/>
                <w:i w:val="0"/>
                <w:color w:val="8A6100"/>
                <w:sz w:val="18"/>
              </w:rPr>
              <w:t>P1</w:t>
            </w:r>
          </w:p>
        </w:tc>
        <w:tc>
          <w:tcPr>
            <w:tcW w:type="dxa" w:w="2040"/>
            <w:tcMar>
              <w:top w:w="80" w:type="dxa"/>
              <w:start w:w="120" w:type="dxa"/>
              <w:bottom w:w="80" w:type="dxa"/>
              <w:end w:w="120" w:type="dxa"/>
            </w:tcMar>
            <w:vAlign w:val="center"/>
          </w:tcPr>
          <w:p>
            <w:r>
              <w:rPr>
                <w:rFonts w:ascii="Calibri" w:hAnsi="Calibri"/>
                <w:b/>
                <w:i w:val="0"/>
                <w:color w:val="1F2937"/>
                <w:sz w:val="18"/>
              </w:rPr>
              <w:t>Divergencia de XP local y servidor</w:t>
            </w:r>
          </w:p>
        </w:tc>
        <w:tc>
          <w:tcPr>
            <w:tcW w:type="dxa" w:w="3180"/>
            <w:tcMar>
              <w:top w:w="80" w:type="dxa"/>
              <w:start w:w="120" w:type="dxa"/>
              <w:bottom w:w="80" w:type="dxa"/>
              <w:end w:w="120" w:type="dxa"/>
            </w:tcMar>
            <w:vAlign w:val="center"/>
          </w:tcPr>
          <w:p>
            <w:r>
              <w:rPr>
                <w:rFonts w:ascii="Calibri" w:hAnsi="Calibri"/>
                <w:b w:val="0"/>
                <w:i w:val="0"/>
                <w:color w:val="1F2937"/>
                <w:sz w:val="18"/>
              </w:rPr>
              <w:t>El cliente suma XP antes de confirmar persistencia; un fallo de red deja estado visual inconsistente.</w:t>
            </w:r>
          </w:p>
        </w:tc>
        <w:tc>
          <w:tcPr>
            <w:tcW w:type="dxa" w:w="3360"/>
            <w:tcMar>
              <w:top w:w="80" w:type="dxa"/>
              <w:start w:w="120" w:type="dxa"/>
              <w:bottom w:w="80" w:type="dxa"/>
              <w:end w:w="120" w:type="dxa"/>
            </w:tcMar>
            <w:vAlign w:val="center"/>
          </w:tcPr>
          <w:p>
            <w:r>
              <w:rPr>
                <w:rFonts w:ascii="Calibri" w:hAnsi="Calibri"/>
                <w:b w:val="0"/>
                <w:i w:val="0"/>
                <w:color w:val="1F2937"/>
                <w:sz w:val="18"/>
              </w:rPr>
              <w:t>Mostrar estado pendiente y reconciliar con respuesta oficial.</w:t>
            </w:r>
          </w:p>
        </w:tc>
      </w:tr>
      <w:tr>
        <w:trPr>
          <w:cantSplit/>
        </w:trPr>
        <w:tc>
          <w:tcPr>
            <w:tcW w:type="dxa" w:w="780"/>
            <w:tcMar>
              <w:top w:w="80" w:type="dxa"/>
              <w:start w:w="120" w:type="dxa"/>
              <w:bottom w:w="80" w:type="dxa"/>
              <w:end w:w="120" w:type="dxa"/>
            </w:tcMar>
            <w:vAlign w:val="center"/>
          </w:tcPr>
          <w:p>
            <w:r>
              <w:rPr>
                <w:rFonts w:ascii="Calibri" w:hAnsi="Calibri"/>
                <w:b/>
                <w:i w:val="0"/>
                <w:color w:val="8A6100"/>
                <w:sz w:val="18"/>
              </w:rPr>
              <w:t>P1</w:t>
            </w:r>
          </w:p>
        </w:tc>
        <w:tc>
          <w:tcPr>
            <w:tcW w:type="dxa" w:w="2040"/>
            <w:tcMar>
              <w:top w:w="80" w:type="dxa"/>
              <w:start w:w="120" w:type="dxa"/>
              <w:bottom w:w="80" w:type="dxa"/>
              <w:end w:w="120" w:type="dxa"/>
            </w:tcMar>
            <w:vAlign w:val="center"/>
          </w:tcPr>
          <w:p>
            <w:r>
              <w:rPr>
                <w:rFonts w:ascii="Calibri" w:hAnsi="Calibri"/>
                <w:b/>
                <w:i w:val="0"/>
                <w:color w:val="1F2937"/>
                <w:sz w:val="18"/>
              </w:rPr>
              <w:t>Sin pruebas automatizadas</w:t>
            </w:r>
          </w:p>
        </w:tc>
        <w:tc>
          <w:tcPr>
            <w:tcW w:type="dxa" w:w="3180"/>
            <w:tcMar>
              <w:top w:w="80" w:type="dxa"/>
              <w:start w:w="120" w:type="dxa"/>
              <w:bottom w:w="80" w:type="dxa"/>
              <w:end w:w="120" w:type="dxa"/>
            </w:tcMar>
            <w:vAlign w:val="center"/>
          </w:tcPr>
          <w:p>
            <w:r>
              <w:rPr>
                <w:rFonts w:ascii="Calibri" w:hAnsi="Calibri"/>
                <w:b w:val="0"/>
                <w:i w:val="0"/>
                <w:color w:val="1F2937"/>
                <w:sz w:val="18"/>
              </w:rPr>
              <w:t>No existen pruebas unitarias, API, integración ni end-to-end.</w:t>
            </w:r>
          </w:p>
        </w:tc>
        <w:tc>
          <w:tcPr>
            <w:tcW w:type="dxa" w:w="3360"/>
            <w:tcMar>
              <w:top w:w="80" w:type="dxa"/>
              <w:start w:w="120" w:type="dxa"/>
              <w:bottom w:w="80" w:type="dxa"/>
              <w:end w:w="120" w:type="dxa"/>
            </w:tcMar>
            <w:vAlign w:val="center"/>
          </w:tcPr>
          <w:p>
            <w:r>
              <w:rPr>
                <w:rFonts w:ascii="Calibri" w:hAnsi="Calibri"/>
                <w:b w:val="0"/>
                <w:i w:val="0"/>
                <w:color w:val="1F2937"/>
                <w:sz w:val="18"/>
              </w:rPr>
              <w:t>Añadir cobertura mínima de autenticación, permisos, progreso y publicación.</w:t>
            </w:r>
          </w:p>
        </w:tc>
      </w:tr>
      <w:tr>
        <w:trPr>
          <w:cantSplit/>
        </w:trPr>
        <w:tc>
          <w:tcPr>
            <w:tcW w:type="dxa" w:w="780"/>
            <w:tcMar>
              <w:top w:w="80" w:type="dxa"/>
              <w:start w:w="120" w:type="dxa"/>
              <w:bottom w:w="80" w:type="dxa"/>
              <w:end w:w="120" w:type="dxa"/>
            </w:tcMar>
            <w:vAlign w:val="center"/>
          </w:tcPr>
          <w:p>
            <w:r>
              <w:rPr>
                <w:rFonts w:ascii="Calibri" w:hAnsi="Calibri"/>
                <w:b/>
                <w:i w:val="0"/>
                <w:color w:val="2E74B5"/>
                <w:sz w:val="18"/>
              </w:rPr>
              <w:t>P2</w:t>
            </w:r>
          </w:p>
        </w:tc>
        <w:tc>
          <w:tcPr>
            <w:tcW w:type="dxa" w:w="2040"/>
            <w:tcMar>
              <w:top w:w="80" w:type="dxa"/>
              <w:start w:w="120" w:type="dxa"/>
              <w:bottom w:w="80" w:type="dxa"/>
              <w:end w:w="120" w:type="dxa"/>
            </w:tcMar>
            <w:vAlign w:val="center"/>
          </w:tcPr>
          <w:p>
            <w:r>
              <w:rPr>
                <w:rFonts w:ascii="Calibri" w:hAnsi="Calibri"/>
                <w:b/>
                <w:i w:val="0"/>
                <w:color w:val="1F2937"/>
                <w:sz w:val="18"/>
              </w:rPr>
              <w:t>CSS global acumulado</w:t>
            </w:r>
          </w:p>
        </w:tc>
        <w:tc>
          <w:tcPr>
            <w:tcW w:type="dxa" w:w="3180"/>
            <w:tcMar>
              <w:top w:w="80" w:type="dxa"/>
              <w:start w:w="120" w:type="dxa"/>
              <w:bottom w:w="80" w:type="dxa"/>
              <w:end w:w="120" w:type="dxa"/>
            </w:tcMar>
            <w:vAlign w:val="center"/>
          </w:tcPr>
          <w:p>
            <w:r>
              <w:rPr>
                <w:rFonts w:ascii="Calibri" w:hAnsi="Calibri"/>
                <w:b w:val="0"/>
                <w:i w:val="0"/>
                <w:color w:val="1F2937"/>
                <w:sz w:val="18"/>
              </w:rPr>
              <w:t>Reglas duplicadas y selectores genéricos dependen del orden de importación.</w:t>
            </w:r>
          </w:p>
        </w:tc>
        <w:tc>
          <w:tcPr>
            <w:tcW w:type="dxa" w:w="3360"/>
            <w:tcMar>
              <w:top w:w="80" w:type="dxa"/>
              <w:start w:w="120" w:type="dxa"/>
              <w:bottom w:w="80" w:type="dxa"/>
              <w:end w:w="120" w:type="dxa"/>
            </w:tcMar>
            <w:vAlign w:val="center"/>
          </w:tcPr>
          <w:p>
            <w:r>
              <w:rPr>
                <w:rFonts w:ascii="Calibri" w:hAnsi="Calibri"/>
                <w:b w:val="0"/>
                <w:i w:val="0"/>
                <w:color w:val="1F2937"/>
                <w:sz w:val="18"/>
              </w:rPr>
              <w:t>Consolidar estilos por shell y eliminar bloques históricos confirmados.</w:t>
            </w:r>
          </w:p>
        </w:tc>
      </w:tr>
    </w:tbl>
    <w:p>
      <w:pPr>
        <w:pStyle w:val="Heading1"/>
      </w:pPr>
      <w:r>
        <w:t>4. Seguridad e integridad de datos</w:t>
      </w:r>
    </w:p>
    <w:p>
      <w:pPr>
        <w:pStyle w:val="Heading2"/>
      </w:pPr>
      <w:r>
        <w:t>4.1 Manipulación de XP</w:t>
      </w:r>
    </w:p>
    <w:p>
      <w:r>
        <w:t>POST /api/progreso recibe puntos_obtenidos del navegador. Aunque limita el abono a xp_recompensa, no comprueba qué respuestas fueron correctas ni deriva el puntaje desde evidencia confiable. La variante materia_id + reto_titulo puede crear un reto inexistente durante el registro de progreso.</w:t>
      </w: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DECEC"/>
          </w:tcPr>
          <w:p>
            <w:pPr>
              <w:spacing w:after="0"/>
            </w:pPr>
            <w:r>
              <w:rPr>
                <w:rFonts w:ascii="Calibri" w:hAnsi="Calibri"/>
                <w:b/>
                <w:i w:val="0"/>
                <w:color w:val="9B1C1C"/>
                <w:sz w:val="22"/>
              </w:rPr>
              <w:t xml:space="preserve">Riesgo P0. </w:t>
            </w:r>
            <w:r>
              <w:rPr>
                <w:rFonts w:ascii="Calibri" w:hAnsi="Calibri"/>
                <w:b w:val="0"/>
                <w:i w:val="0"/>
                <w:color w:val="263442"/>
                <w:sz w:val="22"/>
              </w:rPr>
              <w:t>La transacción evita duplicar XP por reenvío, pero no evita que el cliente falsee el primer resultado.</w:t>
            </w:r>
          </w:p>
        </w:tc>
      </w:tr>
    </w:tbl>
    <w:p>
      <w:pPr>
        <w:spacing w:after="0"/>
      </w:pPr>
    </w:p>
    <w:p>
      <w:pPr>
        <w:pStyle w:val="Heading2"/>
      </w:pPr>
      <w:r>
        <w:t>4.2 Control de acceso contextual</w:t>
      </w:r>
    </w:p>
    <w:p>
      <w:r>
        <w:t>El estudiante solo puede operar sobre su propio ID, pero docentes y administradores no quedan limitados por relación académica. Para docentes debe comprobarse simultáneamente la asignación de materia y la pertenencia del estudiante a una invitación o curso gestionado por ese docente.</w:t>
      </w:r>
    </w:p>
    <w:p>
      <w:pPr>
        <w:pStyle w:val="Heading2"/>
      </w:pPr>
      <w:r>
        <w:t>4.3 Sesión y almacenamiento local</w:t>
      </w:r>
    </w:p>
    <w:p>
      <w:r>
        <w:t>La protección de rutas considera autenticada cualquier sesión que conserve una cadena de token. No valida expiración antes de renderizar. Ante un 401, authFetch limpia datos de sesión, pero la interfaz no navega inmediatamente al login. El rol desconocido cae por defecto en el dashboard del estudiante.</w:t>
      </w:r>
    </w:p>
    <w:p>
      <w:pPr>
        <w:pStyle w:val="Heading2"/>
      </w:pPr>
      <w:r>
        <w:t>4.4 Operaciones de datos</w:t>
      </w:r>
    </w:p>
    <w:p>
      <w:pPr>
        <w:pStyle w:val="ListBullet"/>
        <w:spacing w:after="100"/>
        <w:ind w:left="720" w:hanging="360"/>
      </w:pPr>
      <w:r>
        <w:rPr>
          <w:rFonts w:ascii="Calibri" w:hAnsi="Calibri"/>
          <w:b w:val="0"/>
          <w:i w:val="0"/>
          <w:color w:val="1F2937"/>
          <w:sz w:val="22"/>
        </w:rPr>
        <w:t>La eliminación administrativa de estudiantes debería ejecutarse en una única transacción.</w:t>
      </w:r>
    </w:p>
    <w:p>
      <w:pPr>
        <w:pStyle w:val="ListBullet"/>
        <w:spacing w:after="100"/>
        <w:ind w:left="720" w:hanging="360"/>
      </w:pPr>
      <w:r>
        <w:rPr>
          <w:rFonts w:ascii="Calibri" w:hAnsi="Calibri"/>
          <w:b w:val="0"/>
          <w:i w:val="0"/>
          <w:color w:val="1F2937"/>
          <w:sz w:val="22"/>
        </w:rPr>
        <w:t>La búsqueda de retos por materia y título carece de una restricción única visible; solicitudes concurrentes pueden producir duplicados.</w:t>
      </w:r>
    </w:p>
    <w:p>
      <w:pPr>
        <w:pStyle w:val="ListBullet"/>
        <w:spacing w:after="100"/>
        <w:ind w:left="720" w:hanging="360"/>
      </w:pPr>
      <w:r>
        <w:rPr>
          <w:rFonts w:ascii="Calibri" w:hAnsi="Calibri"/>
          <w:b w:val="0"/>
          <w:i w:val="0"/>
          <w:color w:val="1F2937"/>
          <w:sz w:val="22"/>
        </w:rPr>
        <w:t>Las configuraciones de clasificador y misión se validan en servidor, pero quiz no posee un validador equivalente.</w:t>
      </w:r>
    </w:p>
    <w:p>
      <w:pPr>
        <w:pStyle w:val="ListBullet"/>
        <w:spacing w:after="100"/>
        <w:ind w:left="720" w:hanging="360"/>
      </w:pPr>
      <w:r>
        <w:rPr>
          <w:rFonts w:ascii="Calibri" w:hAnsi="Calibri"/>
          <w:b w:val="0"/>
          <w:i w:val="0"/>
          <w:color w:val="1F2937"/>
          <w:sz w:val="22"/>
        </w:rPr>
        <w:t>La cuenta temporal admin/admin123, cuando falta ADMIN_PASSWORD, es un riesgo operativo de alta prioridad.</w:t>
      </w:r>
    </w:p>
    <w:p>
      <w:pPr>
        <w:pStyle w:val="Heading1"/>
      </w:pPr>
      <w:r>
        <w:t>5. Deuda técnica y simplificación</w:t>
      </w:r>
    </w:p>
    <w:p>
      <w:pPr>
        <w:pStyle w:val="Heading2"/>
      </w:pPr>
      <w:r>
        <w:t>5.1 Componentes monolíticos</w:t>
      </w:r>
    </w:p>
    <w:p>
      <w:r>
        <w:t>Los dashboards mezclan carga de datos, navegación, modales, transformación y renderizado. Los focos principales son dashboard.jsx (aprox. 785 líneas), DashboardEstudiante.jsx (aprox. 549) y AdminDashboard.jsx (aprox. 391). La separación por secciones y controladores reduciría regresiones sin cambiar comportamiento.</w:t>
      </w:r>
    </w:p>
    <w:p>
      <w:pPr>
        <w:pStyle w:val="Heading2"/>
      </w:pPr>
      <w:r>
        <w:t>5.2 Navegación</w:t>
      </w:r>
    </w:p>
    <w:p>
      <w:r>
        <w:t>Las únicas rutas son /, /registro y /dashboard. El contenido interno usa useState, por lo que no existen enlaces directos, historial coherente del navegador ni restauración del contexto después de recargar.</w:t>
      </w:r>
    </w:p>
    <w:p>
      <w:pPr>
        <w:pStyle w:val="Heading2"/>
      </w:pPr>
      <w:r>
        <w:t>5.3 Fuentes de verdad duplicadas</w:t>
      </w:r>
    </w:p>
    <w:p>
      <w:pPr>
        <w:pStyle w:val="ListBullet"/>
        <w:spacing w:after="100"/>
        <w:ind w:left="720" w:hanging="360"/>
      </w:pPr>
      <w:r>
        <w:rPr>
          <w:rFonts w:ascii="Calibri" w:hAnsi="Calibri"/>
          <w:b w:val="0"/>
          <w:i w:val="0"/>
          <w:color w:val="1F2937"/>
          <w:sz w:val="22"/>
        </w:rPr>
        <w:t>Las materias existen en la base de datos y en src/constants/materias.js.</w:t>
      </w:r>
    </w:p>
    <w:p>
      <w:pPr>
        <w:pStyle w:val="ListBullet"/>
        <w:spacing w:after="100"/>
        <w:ind w:left="720" w:hanging="360"/>
      </w:pPr>
      <w:r>
        <w:rPr>
          <w:rFonts w:ascii="Calibri" w:hAnsi="Calibri"/>
          <w:b w:val="0"/>
          <w:i w:val="0"/>
          <w:color w:val="1F2937"/>
          <w:sz w:val="22"/>
        </w:rPr>
        <w:t>La identidad del estudiante se conserva en JWT, auth_usuario y edu_estudianteId.</w:t>
      </w:r>
    </w:p>
    <w:p>
      <w:pPr>
        <w:pStyle w:val="ListBullet"/>
        <w:spacing w:after="100"/>
        <w:ind w:left="720" w:hanging="360"/>
      </w:pPr>
      <w:r>
        <w:rPr>
          <w:rFonts w:ascii="Calibri" w:hAnsi="Calibri"/>
          <w:b w:val="0"/>
          <w:i w:val="0"/>
          <w:color w:val="1F2937"/>
          <w:sz w:val="22"/>
        </w:rPr>
        <w:t>XP es oficial en MySQL, mientras que logros y contador de actividades dependen exclusivamente del navegador.</w:t>
      </w:r>
    </w:p>
    <w:p>
      <w:pPr>
        <w:pStyle w:val="Heading2"/>
      </w:pPr>
      <w:r>
        <w:t>5.4 Lógica repetida</w:t>
      </w:r>
    </w:p>
    <w:p>
      <w:r>
        <w:t>Varios servicios y componentes repiten el ciclo authFetch → parsear JSON → comprobar res.ok → construir error. Conviene un cliente API único. También se repiten shells, acciones de logout, estados de carga y patrones de modal entre roles.</w:t>
      </w:r>
    </w:p>
    <w:p>
      <w:pPr>
        <w:pStyle w:val="Heading1"/>
      </w:pPr>
      <w:r>
        <w:t>6. Código y componentes sin uso</w:t>
      </w:r>
    </w:p>
    <w:tbl>
      <w:tblPr>
        <w:tblW w:type="dxa" w:w="9360"/>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tcMar>
              <w:top w:w="80" w:type="dxa"/>
              <w:start w:w="120" w:type="dxa"/>
              <w:bottom w:w="80" w:type="dxa"/>
              <w:end w:w="120" w:type="dxa"/>
            </w:tcMar>
            <w:vAlign w:val="center"/>
          </w:tcPr>
          <w:p>
            <w:r>
              <w:rPr>
                <w:rFonts w:ascii="Calibri" w:hAnsi="Calibri"/>
                <w:b/>
                <w:i w:val="0"/>
                <w:color w:val="183153"/>
                <w:sz w:val="20"/>
              </w:rPr>
              <w:t>Elemento</w:t>
            </w:r>
          </w:p>
        </w:tc>
        <w:tc>
          <w:tcPr>
            <w:tcW w:type="dxa" w:w="6360"/>
            <w:shd w:fill="E8EEF5"/>
            <w:tcMar>
              <w:top w:w="80" w:type="dxa"/>
              <w:start w:w="120" w:type="dxa"/>
              <w:bottom w:w="80" w:type="dxa"/>
              <w:end w:w="120" w:type="dxa"/>
            </w:tcMar>
            <w:vAlign w:val="center"/>
          </w:tcPr>
          <w:p>
            <w:r>
              <w:rPr>
                <w:rFonts w:ascii="Calibri" w:hAnsi="Calibri"/>
                <w:b/>
                <w:i w:val="0"/>
                <w:color w:val="183153"/>
                <w:sz w:val="20"/>
              </w:rPr>
              <w:t>Estado observado</w:t>
            </w:r>
          </w:p>
        </w:tc>
      </w:tr>
      <w:tr>
        <w:trPr>
          <w:cantSplit/>
        </w:trPr>
        <w:tc>
          <w:tcPr>
            <w:tcW w:type="dxa" w:w="3000"/>
            <w:tcMar>
              <w:top w:w="80" w:type="dxa"/>
              <w:start w:w="120" w:type="dxa"/>
              <w:bottom w:w="80" w:type="dxa"/>
              <w:end w:w="120" w:type="dxa"/>
            </w:tcMar>
            <w:vAlign w:val="center"/>
          </w:tcPr>
          <w:p>
            <w:r>
              <w:rPr>
                <w:rFonts w:ascii="Calibri" w:hAnsi="Calibri"/>
                <w:b/>
                <w:i w:val="0"/>
                <w:color w:val="1F2937"/>
                <w:sz w:val="19"/>
              </w:rPr>
              <w:t>src/App.css</w:t>
            </w:r>
          </w:p>
        </w:tc>
        <w:tc>
          <w:tcPr>
            <w:tcW w:type="dxa" w:w="6360"/>
            <w:tcMar>
              <w:top w:w="80" w:type="dxa"/>
              <w:start w:w="120" w:type="dxa"/>
              <w:bottom w:w="80" w:type="dxa"/>
              <w:end w:w="120" w:type="dxa"/>
            </w:tcMar>
            <w:vAlign w:val="center"/>
          </w:tcPr>
          <w:p>
            <w:r>
              <w:rPr>
                <w:rFonts w:ascii="Calibri" w:hAnsi="Calibri"/>
                <w:b w:val="0"/>
                <w:i w:val="0"/>
                <w:color w:val="1F2937"/>
                <w:sz w:val="19"/>
              </w:rPr>
              <w:t>Archivo vacío, aunque continúa importado.</w:t>
            </w:r>
          </w:p>
        </w:tc>
      </w:tr>
      <w:tr>
        <w:trPr>
          <w:cantSplit/>
        </w:trPr>
        <w:tc>
          <w:tcPr>
            <w:tcW w:type="dxa" w:w="3000"/>
            <w:tcMar>
              <w:top w:w="80" w:type="dxa"/>
              <w:start w:w="120" w:type="dxa"/>
              <w:bottom w:w="80" w:type="dxa"/>
              <w:end w:w="120" w:type="dxa"/>
            </w:tcMar>
            <w:vAlign w:val="center"/>
          </w:tcPr>
          <w:p>
            <w:r>
              <w:rPr>
                <w:rFonts w:ascii="Calibri" w:hAnsi="Calibri"/>
                <w:b/>
                <w:i w:val="0"/>
                <w:color w:val="1F2937"/>
                <w:sz w:val="19"/>
              </w:rPr>
              <w:t>src/assets/react.svg</w:t>
            </w:r>
          </w:p>
        </w:tc>
        <w:tc>
          <w:tcPr>
            <w:tcW w:type="dxa" w:w="6360"/>
            <w:tcMar>
              <w:top w:w="80" w:type="dxa"/>
              <w:start w:w="120" w:type="dxa"/>
              <w:bottom w:w="80" w:type="dxa"/>
              <w:end w:w="120" w:type="dxa"/>
            </w:tcMar>
            <w:vAlign w:val="center"/>
          </w:tcPr>
          <w:p>
            <w:r>
              <w:rPr>
                <w:rFonts w:ascii="Calibri" w:hAnsi="Calibri"/>
                <w:b w:val="0"/>
                <w:i w:val="0"/>
                <w:color w:val="1F2937"/>
                <w:sz w:val="19"/>
              </w:rPr>
              <w:t>Activo inicial de Vite sin referencias.</w:t>
            </w:r>
          </w:p>
        </w:tc>
      </w:tr>
      <w:tr>
        <w:trPr>
          <w:cantSplit/>
        </w:trPr>
        <w:tc>
          <w:tcPr>
            <w:tcW w:type="dxa" w:w="3000"/>
            <w:tcMar>
              <w:top w:w="80" w:type="dxa"/>
              <w:start w:w="120" w:type="dxa"/>
              <w:bottom w:w="80" w:type="dxa"/>
              <w:end w:w="120" w:type="dxa"/>
            </w:tcMar>
            <w:vAlign w:val="center"/>
          </w:tcPr>
          <w:p>
            <w:r>
              <w:rPr>
                <w:rFonts w:ascii="Calibri" w:hAnsi="Calibri"/>
                <w:b/>
                <w:i w:val="0"/>
                <w:color w:val="1F2937"/>
                <w:sz w:val="19"/>
              </w:rPr>
              <w:t>src/assets/vite.svg</w:t>
            </w:r>
          </w:p>
        </w:tc>
        <w:tc>
          <w:tcPr>
            <w:tcW w:type="dxa" w:w="6360"/>
            <w:tcMar>
              <w:top w:w="80" w:type="dxa"/>
              <w:start w:w="120" w:type="dxa"/>
              <w:bottom w:w="80" w:type="dxa"/>
              <w:end w:w="120" w:type="dxa"/>
            </w:tcMar>
            <w:vAlign w:val="center"/>
          </w:tcPr>
          <w:p>
            <w:r>
              <w:rPr>
                <w:rFonts w:ascii="Calibri" w:hAnsi="Calibri"/>
                <w:b w:val="0"/>
                <w:i w:val="0"/>
                <w:color w:val="1F2937"/>
                <w:sz w:val="19"/>
              </w:rPr>
              <w:t>Activo inicial de Vite sin referencias.</w:t>
            </w:r>
          </w:p>
        </w:tc>
      </w:tr>
      <w:tr>
        <w:trPr>
          <w:cantSplit/>
        </w:trPr>
        <w:tc>
          <w:tcPr>
            <w:tcW w:type="dxa" w:w="3000"/>
            <w:tcMar>
              <w:top w:w="80" w:type="dxa"/>
              <w:start w:w="120" w:type="dxa"/>
              <w:bottom w:w="80" w:type="dxa"/>
              <w:end w:w="120" w:type="dxa"/>
            </w:tcMar>
            <w:vAlign w:val="center"/>
          </w:tcPr>
          <w:p>
            <w:r>
              <w:rPr>
                <w:rFonts w:ascii="Calibri" w:hAnsi="Calibri"/>
                <w:b/>
                <w:i w:val="0"/>
                <w:color w:val="1F2937"/>
                <w:sz w:val="19"/>
              </w:rPr>
              <w:t>src/assets/hero.png</w:t>
            </w:r>
          </w:p>
        </w:tc>
        <w:tc>
          <w:tcPr>
            <w:tcW w:type="dxa" w:w="6360"/>
            <w:tcMar>
              <w:top w:w="80" w:type="dxa"/>
              <w:start w:w="120" w:type="dxa"/>
              <w:bottom w:w="80" w:type="dxa"/>
              <w:end w:w="120" w:type="dxa"/>
            </w:tcMar>
            <w:vAlign w:val="center"/>
          </w:tcPr>
          <w:p>
            <w:r>
              <w:rPr>
                <w:rFonts w:ascii="Calibri" w:hAnsi="Calibri"/>
                <w:b w:val="0"/>
                <w:i w:val="0"/>
                <w:color w:val="1F2937"/>
                <w:sz w:val="19"/>
              </w:rPr>
              <w:t>No se encontró referencia desde el código fuente.</w:t>
            </w:r>
          </w:p>
        </w:tc>
      </w:tr>
      <w:tr>
        <w:trPr>
          <w:cantSplit/>
        </w:trPr>
        <w:tc>
          <w:tcPr>
            <w:tcW w:type="dxa" w:w="3000"/>
            <w:tcMar>
              <w:top w:w="80" w:type="dxa"/>
              <w:start w:w="120" w:type="dxa"/>
              <w:bottom w:w="80" w:type="dxa"/>
              <w:end w:w="120" w:type="dxa"/>
            </w:tcMar>
            <w:vAlign w:val="center"/>
          </w:tcPr>
          <w:p>
            <w:r>
              <w:rPr>
                <w:rFonts w:ascii="Calibri" w:hAnsi="Calibri"/>
                <w:b/>
                <w:i w:val="0"/>
                <w:color w:val="1F2937"/>
                <w:sz w:val="19"/>
              </w:rPr>
              <w:t>asistenteIA.jsx / respuestaIA.jsx</w:t>
            </w:r>
          </w:p>
        </w:tc>
        <w:tc>
          <w:tcPr>
            <w:tcW w:type="dxa" w:w="6360"/>
            <w:tcMar>
              <w:top w:w="80" w:type="dxa"/>
              <w:start w:w="120" w:type="dxa"/>
              <w:bottom w:w="80" w:type="dxa"/>
              <w:end w:w="120" w:type="dxa"/>
            </w:tcMar>
            <w:vAlign w:val="center"/>
          </w:tcPr>
          <w:p>
            <w:r>
              <w:rPr>
                <w:rFonts w:ascii="Calibri" w:hAnsi="Calibri"/>
                <w:b w:val="0"/>
                <w:i w:val="0"/>
                <w:color w:val="1F2937"/>
                <w:sz w:val="19"/>
              </w:rPr>
              <w:t>Retirados de la navegación; permanecen en el repositorio.</w:t>
            </w:r>
          </w:p>
        </w:tc>
      </w:tr>
      <w:tr>
        <w:trPr>
          <w:cantSplit/>
        </w:trPr>
        <w:tc>
          <w:tcPr>
            <w:tcW w:type="dxa" w:w="3000"/>
            <w:tcMar>
              <w:top w:w="80" w:type="dxa"/>
              <w:start w:w="120" w:type="dxa"/>
              <w:bottom w:w="80" w:type="dxa"/>
              <w:end w:w="120" w:type="dxa"/>
            </w:tcMar>
            <w:vAlign w:val="center"/>
          </w:tcPr>
          <w:p>
            <w:r>
              <w:rPr>
                <w:rFonts w:ascii="Calibri" w:hAnsi="Calibri"/>
                <w:b/>
                <w:i w:val="0"/>
                <w:color w:val="1F2937"/>
                <w:sz w:val="19"/>
              </w:rPr>
              <w:t>POST /api/ia/asistente</w:t>
            </w:r>
          </w:p>
        </w:tc>
        <w:tc>
          <w:tcPr>
            <w:tcW w:type="dxa" w:w="6360"/>
            <w:tcMar>
              <w:top w:w="80" w:type="dxa"/>
              <w:start w:w="120" w:type="dxa"/>
              <w:bottom w:w="80" w:type="dxa"/>
              <w:end w:w="120" w:type="dxa"/>
            </w:tcMar>
            <w:vAlign w:val="center"/>
          </w:tcPr>
          <w:p>
            <w:r>
              <w:rPr>
                <w:rFonts w:ascii="Calibri" w:hAnsi="Calibri"/>
                <w:b w:val="0"/>
                <w:i w:val="0"/>
                <w:color w:val="1F2937"/>
                <w:sz w:val="19"/>
              </w:rPr>
              <w:t>Endpoint activo sin entrada visible en la UI.</w:t>
            </w:r>
          </w:p>
        </w:tc>
      </w:tr>
      <w:tr>
        <w:trPr>
          <w:cantSplit/>
        </w:trPr>
        <w:tc>
          <w:tcPr>
            <w:tcW w:type="dxa" w:w="3000"/>
            <w:tcMar>
              <w:top w:w="80" w:type="dxa"/>
              <w:start w:w="120" w:type="dxa"/>
              <w:bottom w:w="80" w:type="dxa"/>
              <w:end w:w="120" w:type="dxa"/>
            </w:tcMar>
            <w:vAlign w:val="center"/>
          </w:tcPr>
          <w:p>
            <w:r>
              <w:rPr>
                <w:rFonts w:ascii="Calibri" w:hAnsi="Calibri"/>
                <w:b/>
                <w:i w:val="0"/>
                <w:color w:val="1F2937"/>
                <w:sz w:val="19"/>
              </w:rPr>
              <w:t>getActividades</w:t>
            </w:r>
          </w:p>
        </w:tc>
        <w:tc>
          <w:tcPr>
            <w:tcW w:type="dxa" w:w="6360"/>
            <w:tcMar>
              <w:top w:w="80" w:type="dxa"/>
              <w:start w:w="120" w:type="dxa"/>
              <w:bottom w:w="80" w:type="dxa"/>
              <w:end w:w="120" w:type="dxa"/>
            </w:tcMar>
            <w:vAlign w:val="center"/>
          </w:tcPr>
          <w:p>
            <w:r>
              <w:rPr>
                <w:rFonts w:ascii="Calibri" w:hAnsi="Calibri"/>
                <w:b w:val="0"/>
                <w:i w:val="0"/>
                <w:color w:val="1F2937"/>
                <w:sz w:val="19"/>
              </w:rPr>
              <w:t>Función privada declarada y no utilizada.</w:t>
            </w:r>
          </w:p>
        </w:tc>
      </w:tr>
      <w:tr>
        <w:trPr>
          <w:cantSplit/>
        </w:trPr>
        <w:tc>
          <w:tcPr>
            <w:tcW w:type="dxa" w:w="3000"/>
            <w:tcMar>
              <w:top w:w="80" w:type="dxa"/>
              <w:start w:w="120" w:type="dxa"/>
              <w:bottom w:w="80" w:type="dxa"/>
              <w:end w:w="120" w:type="dxa"/>
            </w:tcMar>
            <w:vAlign w:val="center"/>
          </w:tcPr>
          <w:p>
            <w:r>
              <w:rPr>
                <w:rFonts w:ascii="Calibri" w:hAnsi="Calibri"/>
                <w:b/>
                <w:i w:val="0"/>
                <w:color w:val="1F2937"/>
                <w:sz w:val="19"/>
              </w:rPr>
              <w:t>README.md</w:t>
            </w:r>
          </w:p>
        </w:tc>
        <w:tc>
          <w:tcPr>
            <w:tcW w:type="dxa" w:w="6360"/>
            <w:tcMar>
              <w:top w:w="80" w:type="dxa"/>
              <w:start w:w="120" w:type="dxa"/>
              <w:bottom w:w="80" w:type="dxa"/>
              <w:end w:w="120" w:type="dxa"/>
            </w:tcMar>
            <w:vAlign w:val="center"/>
          </w:tcPr>
          <w:p>
            <w:r>
              <w:rPr>
                <w:rFonts w:ascii="Calibri" w:hAnsi="Calibri"/>
                <w:b w:val="0"/>
                <w:i w:val="0"/>
                <w:color w:val="1F2937"/>
                <w:sz w:val="19"/>
              </w:rPr>
              <w:t>Conserva el contenido inicial de la plantilla de Vite.</w:t>
            </w:r>
          </w:p>
        </w:tc>
      </w:tr>
    </w:tbl>
    <w:p>
      <w:r>
        <w:t>Antes de eliminar el endpoint del asistente debe confirmarse que no tenga consumidores externos.</w:t>
      </w:r>
    </w:p>
    <w:p>
      <w:pPr>
        <w:pStyle w:val="Heading1"/>
      </w:pPr>
      <w:r>
        <w:t>7. CSS y consistencia visual</w:t>
      </w:r>
    </w:p>
    <w:p>
      <w:r>
        <w:t>dashboard.css concentra aproximadamente 1.475 líneas y contiene reglas de diferentes etapas de diseño. Se localizaron selectores repetidos como .sidebar, .contenido, .home-grid, .materia-panel, .crear-tipos, .materia-hero, .quick-action-card, .login-card, .login-aside y .logout-btn.</w:t>
      </w:r>
    </w:p>
    <w:p>
      <w:pPr>
        <w:pStyle w:val="ListBullet"/>
        <w:spacing w:after="100"/>
        <w:ind w:left="720" w:hanging="360"/>
      </w:pPr>
      <w:r>
        <w:rPr>
          <w:rFonts w:ascii="Calibri" w:hAnsi="Calibri"/>
          <w:b w:val="0"/>
          <w:i w:val="0"/>
          <w:color w:val="1F2937"/>
          <w:sz w:val="22"/>
        </w:rPr>
        <w:t>El dashboard del estudiante importa el CSS completo del docente y después aplica correcciones propias.</w:t>
      </w:r>
    </w:p>
    <w:p>
      <w:pPr>
        <w:pStyle w:val="ListBullet"/>
        <w:spacing w:after="100"/>
        <w:ind w:left="720" w:hanging="360"/>
      </w:pPr>
      <w:r>
        <w:rPr>
          <w:rFonts w:ascii="Calibri" w:hAnsi="Calibri"/>
          <w:b w:val="0"/>
          <w:i w:val="0"/>
          <w:color w:val="1F2937"/>
          <w:sz w:val="22"/>
        </w:rPr>
        <w:t>Selectores genéricos con alcance global elevan el riesgo de colisiones.</w:t>
      </w:r>
    </w:p>
    <w:p>
      <w:pPr>
        <w:pStyle w:val="ListBullet"/>
        <w:spacing w:after="100"/>
        <w:ind w:left="720" w:hanging="360"/>
      </w:pPr>
      <w:r>
        <w:rPr>
          <w:rFonts w:ascii="Calibri" w:hAnsi="Calibri"/>
          <w:b w:val="0"/>
          <w:i w:val="0"/>
          <w:color w:val="1F2937"/>
          <w:sz w:val="22"/>
        </w:rPr>
        <w:t>Se mezclan MUI, emojis, SVG y controles HTML nativos sin una capa visual uniforme.</w:t>
      </w:r>
    </w:p>
    <w:p>
      <w:pPr>
        <w:pStyle w:val="ListBullet"/>
        <w:spacing w:after="100"/>
        <w:ind w:left="720" w:hanging="360"/>
      </w:pPr>
      <w:r>
        <w:rPr>
          <w:rFonts w:ascii="Calibri" w:hAnsi="Calibri"/>
          <w:b w:val="0"/>
          <w:i w:val="0"/>
          <w:color w:val="1F2937"/>
          <w:sz w:val="22"/>
        </w:rPr>
        <w:t>window.prompt, window.alert y window.confirm rompen la coherencia visual del sistema.</w:t>
      </w:r>
    </w:p>
    <w:p>
      <w:pPr>
        <w:pStyle w:val="ListBullet"/>
        <w:spacing w:after="100"/>
        <w:ind w:left="720" w:hanging="360"/>
      </w:pPr>
      <w:r>
        <w:rPr>
          <w:rFonts w:ascii="Calibri" w:hAnsi="Calibri"/>
          <w:b w:val="0"/>
          <w:i w:val="0"/>
          <w:color w:val="1F2937"/>
          <w:sz w:val="22"/>
        </w:rPr>
        <w:t>La navegación por teclado y los estados :focus-visible son incompletos en controles no formularios.</w:t>
      </w:r>
    </w:p>
    <w:p>
      <w:pPr>
        <w:pStyle w:val="ListBullet"/>
        <w:spacing w:after="100"/>
        <w:ind w:left="720" w:hanging="360"/>
      </w:pPr>
      <w:r>
        <w:rPr>
          <w:rFonts w:ascii="Calibri" w:hAnsi="Calibri"/>
          <w:b w:val="0"/>
          <w:i w:val="0"/>
          <w:color w:val="1F2937"/>
          <w:sz w:val="22"/>
        </w:rPr>
        <w:t>El juego drag &amp; drop requiere validación completa con teclado y dispositivos táctiles.</w:t>
      </w:r>
    </w:p>
    <w:p>
      <w:pPr>
        <w:pStyle w:val="Heading1"/>
      </w:pPr>
      <w:r>
        <w:t>8. Calidad y estrategia QA</w:t>
      </w:r>
    </w:p>
    <w:p>
      <w:r>
        <w:t>ESLint reportó 40 errores. Una parte proviene de aplicar globales de navegador al código Node; el resto incluye exportaciones incompatibles con Fast Refresh, actualizaciones síncronas de estado dentro de efectos, variables sin uso y asignaciones inútiles.</w:t>
      </w:r>
    </w:p>
    <w:tbl>
      <w:tblPr>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FF4D6"/>
          </w:tcPr>
          <w:p>
            <w:pPr>
              <w:spacing w:after="0"/>
            </w:pPr>
            <w:r>
              <w:rPr>
                <w:rFonts w:ascii="Calibri" w:hAnsi="Calibri"/>
                <w:b/>
                <w:i w:val="0"/>
                <w:color w:val="8A6100"/>
                <w:sz w:val="22"/>
              </w:rPr>
              <w:t xml:space="preserve">Estado QA. </w:t>
            </w:r>
            <w:r>
              <w:rPr>
                <w:rFonts w:ascii="Calibri" w:hAnsi="Calibri"/>
                <w:b w:val="0"/>
                <w:i w:val="0"/>
                <w:color w:val="263442"/>
                <w:sz w:val="22"/>
              </w:rPr>
              <w:t>No se encontraron scripts de test, pruebas unitarias, integración API, end-to-end, cobertura ni una verificación CI documentada.</w:t>
            </w:r>
          </w:p>
        </w:tc>
      </w:tr>
    </w:tbl>
    <w:p>
      <w:pPr>
        <w:spacing w:after="0"/>
      </w:pPr>
    </w:p>
    <w:p>
      <w:pPr>
        <w:pStyle w:val="Heading2"/>
      </w:pPr>
      <w:r>
        <w:t>Cobertura mínima recomendada</w:t>
      </w:r>
    </w:p>
    <w:p>
      <w:pPr>
        <w:pStyle w:val="ListBullet"/>
        <w:spacing w:after="100"/>
        <w:ind w:left="720" w:hanging="360"/>
      </w:pPr>
      <w:r>
        <w:rPr>
          <w:rFonts w:ascii="Calibri" w:hAnsi="Calibri"/>
          <w:b w:val="0"/>
          <w:i w:val="0"/>
          <w:color w:val="1F2937"/>
          <w:sz w:val="22"/>
        </w:rPr>
        <w:t>Login por rol, expiración de JWT, bloqueo y recuperación de cuenta.</w:t>
      </w:r>
    </w:p>
    <w:p>
      <w:pPr>
        <w:pStyle w:val="ListBullet"/>
        <w:spacing w:after="100"/>
        <w:ind w:left="720" w:hanging="360"/>
      </w:pPr>
      <w:r>
        <w:rPr>
          <w:rFonts w:ascii="Calibri" w:hAnsi="Calibri"/>
          <w:b w:val="0"/>
          <w:i w:val="0"/>
          <w:color w:val="1F2937"/>
          <w:sz w:val="22"/>
        </w:rPr>
        <w:t>Permisos negativos: estudiante ajeno, docente sin materia y docente sin relación con estudiante.</w:t>
      </w:r>
    </w:p>
    <w:p>
      <w:pPr>
        <w:pStyle w:val="ListBullet"/>
        <w:spacing w:after="100"/>
        <w:ind w:left="720" w:hanging="360"/>
      </w:pPr>
      <w:r>
        <w:rPr>
          <w:rFonts w:ascii="Calibri" w:hAnsi="Calibri"/>
          <w:b w:val="0"/>
          <w:i w:val="0"/>
          <w:color w:val="1F2937"/>
          <w:sz w:val="22"/>
        </w:rPr>
        <w:t>Idempotencia y concurrencia del progreso.</w:t>
      </w:r>
    </w:p>
    <w:p>
      <w:pPr>
        <w:pStyle w:val="ListBullet"/>
        <w:spacing w:after="100"/>
        <w:ind w:left="720" w:hanging="360"/>
      </w:pPr>
      <w:r>
        <w:rPr>
          <w:rFonts w:ascii="Calibri" w:hAnsi="Calibri"/>
          <w:b w:val="0"/>
          <w:i w:val="0"/>
          <w:color w:val="1F2937"/>
          <w:sz w:val="22"/>
        </w:rPr>
        <w:t>Validación de configuraciones de quiz, clasificador y misión.</w:t>
      </w:r>
    </w:p>
    <w:p>
      <w:pPr>
        <w:pStyle w:val="ListBullet"/>
        <w:spacing w:after="100"/>
        <w:ind w:left="720" w:hanging="360"/>
      </w:pPr>
      <w:r>
        <w:rPr>
          <w:rFonts w:ascii="Calibri" w:hAnsi="Calibri"/>
          <w:b w:val="0"/>
          <w:i w:val="0"/>
          <w:color w:val="1F2937"/>
          <w:sz w:val="22"/>
        </w:rPr>
        <w:t>Publicación y consumo de retos de extremo a extremo.</w:t>
      </w:r>
    </w:p>
    <w:p>
      <w:pPr>
        <w:pStyle w:val="ListBullet"/>
        <w:spacing w:after="100"/>
        <w:ind w:left="720" w:hanging="360"/>
      </w:pPr>
      <w:r>
        <w:rPr>
          <w:rFonts w:ascii="Calibri" w:hAnsi="Calibri"/>
          <w:b w:val="0"/>
          <w:i w:val="0"/>
          <w:color w:val="1F2937"/>
          <w:sz w:val="22"/>
        </w:rPr>
        <w:t>Cambio de cuenta en el mismo dispositivo y limpieza de caché.</w:t>
      </w:r>
    </w:p>
    <w:p>
      <w:pPr>
        <w:pStyle w:val="ListBullet"/>
        <w:spacing w:after="100"/>
        <w:ind w:left="720" w:hanging="360"/>
      </w:pPr>
      <w:r>
        <w:rPr>
          <w:rFonts w:ascii="Calibri" w:hAnsi="Calibri"/>
          <w:b w:val="0"/>
          <w:i w:val="0"/>
          <w:color w:val="1F2937"/>
          <w:sz w:val="22"/>
        </w:rPr>
        <w:t>Pruebas responsivas y accesibilidad básica de los tres roles.</w:t>
      </w:r>
    </w:p>
    <w:p>
      <w:pPr>
        <w:pStyle w:val="Heading1"/>
      </w:pPr>
      <w:r>
        <w:t>9. Documentación y operación</w:t>
      </w:r>
    </w:p>
    <w:p>
      <w:pPr>
        <w:pStyle w:val="ListBullet"/>
        <w:spacing w:after="100"/>
        <w:ind w:left="720" w:hanging="360"/>
      </w:pPr>
      <w:r>
        <w:rPr>
          <w:rFonts w:ascii="Calibri" w:hAnsi="Calibri"/>
          <w:b w:val="0"/>
          <w:i w:val="0"/>
          <w:color w:val="1F2937"/>
          <w:sz w:val="22"/>
        </w:rPr>
        <w:t>CURRENT_STATE.md y PROJECT_CONTEXT.md indican instituciones educativas diferentes.</w:t>
      </w:r>
    </w:p>
    <w:p>
      <w:pPr>
        <w:pStyle w:val="ListBullet"/>
        <w:spacing w:after="100"/>
        <w:ind w:left="720" w:hanging="360"/>
      </w:pPr>
      <w:r>
        <w:rPr>
          <w:rFonts w:ascii="Calibri" w:hAnsi="Calibri"/>
          <w:b w:val="0"/>
          <w:i w:val="0"/>
          <w:color w:val="1F2937"/>
          <w:sz w:val="22"/>
        </w:rPr>
        <w:t>El estado declara el MVP completo, pero reconoce módulos parciales y un Libro de Calificaciones placeholder.</w:t>
      </w:r>
    </w:p>
    <w:p>
      <w:pPr>
        <w:pStyle w:val="ListBullet"/>
        <w:spacing w:after="100"/>
        <w:ind w:left="720" w:hanging="360"/>
      </w:pPr>
      <w:r>
        <w:rPr>
          <w:rFonts w:ascii="Calibri" w:hAnsi="Calibri"/>
          <w:b w:val="0"/>
          <w:i w:val="0"/>
          <w:color w:val="1F2937"/>
          <w:sz w:val="22"/>
        </w:rPr>
        <w:t>Los volcados gamificapp.sql y produccion_defaultdb.sql difieren significativamente.</w:t>
      </w:r>
    </w:p>
    <w:p>
      <w:pPr>
        <w:pStyle w:val="ListBullet"/>
        <w:spacing w:after="100"/>
        <w:ind w:left="720" w:hanging="360"/>
      </w:pPr>
      <w:r>
        <w:rPr>
          <w:rFonts w:ascii="Calibri" w:hAnsi="Calibri"/>
          <w:b w:val="0"/>
          <w:i w:val="0"/>
          <w:color w:val="1F2937"/>
          <w:sz w:val="22"/>
        </w:rPr>
        <w:t>La inicialización de esquema durante cada arranque mezcla migración y ejecución normal.</w:t>
      </w:r>
    </w:p>
    <w:p>
      <w:pPr>
        <w:pStyle w:val="ListBullet"/>
        <w:spacing w:after="100"/>
        <w:ind w:left="720" w:hanging="360"/>
      </w:pPr>
      <w:r>
        <w:rPr>
          <w:rFonts w:ascii="Calibri" w:hAnsi="Calibri"/>
          <w:b w:val="0"/>
          <w:i w:val="0"/>
          <w:color w:val="1F2937"/>
          <w:sz w:val="22"/>
        </w:rPr>
        <w:t>El almacenamiento base64 aumenta tamaño y uso de memoria; el límite JSON de 25 MB no equivale a un archivo de 25 MB.</w:t>
      </w:r>
    </w:p>
    <w:p>
      <w:pPr>
        <w:pStyle w:val="Heading1"/>
      </w:pPr>
      <w:r>
        <w:t>10. Plan de corrección recomendado</w:t>
      </w:r>
    </w:p>
    <w:p>
      <w:pPr>
        <w:pStyle w:val="ListNumber"/>
        <w:spacing w:after="100"/>
        <w:ind w:left="720" w:hanging="360"/>
      </w:pPr>
      <w:r>
        <w:rPr>
          <w:rFonts w:ascii="Calibri" w:hAnsi="Calibri"/>
          <w:b w:val="0"/>
          <w:i w:val="0"/>
          <w:color w:val="1F2937"/>
          <w:sz w:val="22"/>
        </w:rPr>
        <w:t>Cerrar la manipulación de XP y retirar la creación implícita de retos desde progreso.</w:t>
      </w:r>
    </w:p>
    <w:p>
      <w:pPr>
        <w:pStyle w:val="ListNumber"/>
        <w:spacing w:after="100"/>
        <w:ind w:left="720" w:hanging="360"/>
      </w:pPr>
      <w:r>
        <w:rPr>
          <w:rFonts w:ascii="Calibri" w:hAnsi="Calibri"/>
          <w:b w:val="0"/>
          <w:i w:val="0"/>
          <w:color w:val="1F2937"/>
          <w:sz w:val="22"/>
        </w:rPr>
        <w:t>Aplicar autorización docente-estudiante-materia en todos los endpoints afectados.</w:t>
      </w:r>
    </w:p>
    <w:p>
      <w:pPr>
        <w:pStyle w:val="ListNumber"/>
        <w:spacing w:after="100"/>
        <w:ind w:left="720" w:hanging="360"/>
      </w:pPr>
      <w:r>
        <w:rPr>
          <w:rFonts w:ascii="Calibri" w:hAnsi="Calibri"/>
          <w:b w:val="0"/>
          <w:i w:val="0"/>
          <w:color w:val="1F2937"/>
          <w:sz w:val="22"/>
        </w:rPr>
        <w:t>Aislar o eliminar el caché de gamificación por usuario y reconciliar siempre con el servidor.</w:t>
      </w:r>
    </w:p>
    <w:p>
      <w:pPr>
        <w:pStyle w:val="ListNumber"/>
        <w:spacing w:after="100"/>
        <w:ind w:left="720" w:hanging="360"/>
      </w:pPr>
      <w:r>
        <w:rPr>
          <w:rFonts w:ascii="Calibri" w:hAnsi="Calibri"/>
          <w:b w:val="0"/>
          <w:i w:val="0"/>
          <w:color w:val="1F2937"/>
          <w:sz w:val="22"/>
        </w:rPr>
        <w:t>Derivar la identidad del estudiante desde la sesión firmada.</w:t>
      </w:r>
    </w:p>
    <w:p>
      <w:pPr>
        <w:pStyle w:val="ListNumber"/>
        <w:spacing w:after="100"/>
        <w:ind w:left="720" w:hanging="360"/>
      </w:pPr>
      <w:r>
        <w:rPr>
          <w:rFonts w:ascii="Calibri" w:hAnsi="Calibri"/>
          <w:b w:val="0"/>
          <w:i w:val="0"/>
          <w:color w:val="1F2937"/>
          <w:sz w:val="22"/>
        </w:rPr>
        <w:t>Añadir restricciones de integridad y transacciones en operaciones administrativas.</w:t>
      </w:r>
    </w:p>
    <w:p>
      <w:pPr>
        <w:pStyle w:val="ListNumber"/>
        <w:spacing w:after="100"/>
        <w:ind w:left="720" w:hanging="360"/>
      </w:pPr>
      <w:r>
        <w:rPr>
          <w:rFonts w:ascii="Calibri" w:hAnsi="Calibri"/>
          <w:b w:val="0"/>
          <w:i w:val="0"/>
          <w:color w:val="1F2937"/>
          <w:sz w:val="22"/>
        </w:rPr>
        <w:t>Corregir los 40 errores de lint y separar la configuración de frontend y backend.</w:t>
      </w:r>
    </w:p>
    <w:p>
      <w:pPr>
        <w:pStyle w:val="ListNumber"/>
        <w:spacing w:after="100"/>
        <w:ind w:left="720" w:hanging="360"/>
      </w:pPr>
      <w:r>
        <w:rPr>
          <w:rFonts w:ascii="Calibri" w:hAnsi="Calibri"/>
          <w:b w:val="0"/>
          <w:i w:val="0"/>
          <w:color w:val="1F2937"/>
          <w:sz w:val="22"/>
        </w:rPr>
        <w:t>Incorporar pruebas mínimas de autenticación, permisos, progreso y publicación.</w:t>
      </w:r>
    </w:p>
    <w:p>
      <w:pPr>
        <w:pStyle w:val="ListNumber"/>
        <w:spacing w:after="100"/>
        <w:ind w:left="720" w:hanging="360"/>
      </w:pPr>
      <w:r>
        <w:rPr>
          <w:rFonts w:ascii="Calibri" w:hAnsi="Calibri"/>
          <w:b w:val="0"/>
          <w:i w:val="0"/>
          <w:color w:val="1F2937"/>
          <w:sz w:val="22"/>
        </w:rPr>
        <w:t>Dividir dashboards por secciones conservando el comportamiento actual.</w:t>
      </w:r>
    </w:p>
    <w:p>
      <w:pPr>
        <w:pStyle w:val="ListNumber"/>
        <w:spacing w:after="100"/>
        <w:ind w:left="720" w:hanging="360"/>
      </w:pPr>
      <w:r>
        <w:rPr>
          <w:rFonts w:ascii="Calibri" w:hAnsi="Calibri"/>
          <w:b w:val="0"/>
          <w:i w:val="0"/>
          <w:color w:val="1F2937"/>
          <w:sz w:val="22"/>
        </w:rPr>
        <w:t>Consolidar CSS por shell y retirar sobrescrituras históricas verificadas.</w:t>
      </w:r>
    </w:p>
    <w:p>
      <w:pPr>
        <w:pStyle w:val="ListNumber"/>
        <w:spacing w:after="100"/>
        <w:ind w:left="720" w:hanging="360"/>
      </w:pPr>
      <w:r>
        <w:rPr>
          <w:rFonts w:ascii="Calibri" w:hAnsi="Calibri"/>
          <w:b w:val="0"/>
          <w:i w:val="0"/>
          <w:color w:val="1F2937"/>
          <w:sz w:val="22"/>
        </w:rPr>
        <w:t>Eliminar código y activos confirmados como muertos.</w:t>
      </w:r>
    </w:p>
    <w:p>
      <w:pPr>
        <w:pStyle w:val="ListNumber"/>
        <w:spacing w:after="100"/>
        <w:ind w:left="720" w:hanging="360"/>
      </w:pPr>
      <w:r>
        <w:rPr>
          <w:rFonts w:ascii="Calibri" w:hAnsi="Calibri"/>
          <w:b w:val="0"/>
          <w:i w:val="0"/>
          <w:color w:val="1F2937"/>
          <w:sz w:val="22"/>
        </w:rPr>
        <w:t>Unificar materias, esquema operativo, documentación y README.</w:t>
      </w:r>
    </w:p>
    <w:p>
      <w:pPr>
        <w:pStyle w:val="Heading1"/>
      </w:pPr>
      <w:r>
        <w:t>11. Criterios de salida para cierre</w:t>
      </w:r>
    </w:p>
    <w:p>
      <w:pPr>
        <w:pStyle w:val="ListBullet"/>
        <w:spacing w:after="100"/>
        <w:ind w:left="720" w:hanging="360"/>
      </w:pPr>
      <w:r>
        <w:rPr>
          <w:rFonts w:ascii="Calibri" w:hAnsi="Calibri"/>
          <w:b w:val="0"/>
          <w:i w:val="0"/>
          <w:color w:val="1F2937"/>
          <w:sz w:val="22"/>
        </w:rPr>
        <w:t>☐ Ningún cliente puede autootorgarse XP ni crear retos mediante el endpoint de progreso.</w:t>
      </w:r>
    </w:p>
    <w:p>
      <w:pPr>
        <w:pStyle w:val="ListBullet"/>
        <w:spacing w:after="100"/>
        <w:ind w:left="720" w:hanging="360"/>
      </w:pPr>
      <w:r>
        <w:rPr>
          <w:rFonts w:ascii="Calibri" w:hAnsi="Calibri"/>
          <w:b w:val="0"/>
          <w:i w:val="0"/>
          <w:color w:val="1F2937"/>
          <w:sz w:val="22"/>
        </w:rPr>
        <w:t>☐ Un docente solo accede a estudiantes y materias bajo su gestión.</w:t>
      </w:r>
    </w:p>
    <w:p>
      <w:pPr>
        <w:pStyle w:val="ListBullet"/>
        <w:spacing w:after="100"/>
        <w:ind w:left="720" w:hanging="360"/>
      </w:pPr>
      <w:r>
        <w:rPr>
          <w:rFonts w:ascii="Calibri" w:hAnsi="Calibri"/>
          <w:b w:val="0"/>
          <w:i w:val="0"/>
          <w:color w:val="1F2937"/>
          <w:sz w:val="22"/>
        </w:rPr>
        <w:t>☐ Cambiar de estudiante en el mismo dispositivo no filtra XP, logros ni actividad.</w:t>
      </w:r>
    </w:p>
    <w:p>
      <w:pPr>
        <w:pStyle w:val="ListBullet"/>
        <w:spacing w:after="100"/>
        <w:ind w:left="720" w:hanging="360"/>
      </w:pPr>
      <w:r>
        <w:rPr>
          <w:rFonts w:ascii="Calibri" w:hAnsi="Calibri"/>
          <w:b w:val="0"/>
          <w:i w:val="0"/>
          <w:color w:val="1F2937"/>
          <w:sz w:val="22"/>
        </w:rPr>
        <w:t>☐ ESLint finaliza sin errores y existe una verificación reproducible.</w:t>
      </w:r>
    </w:p>
    <w:p>
      <w:pPr>
        <w:pStyle w:val="ListBullet"/>
        <w:spacing w:after="100"/>
        <w:ind w:left="720" w:hanging="360"/>
      </w:pPr>
      <w:r>
        <w:rPr>
          <w:rFonts w:ascii="Calibri" w:hAnsi="Calibri"/>
          <w:b w:val="0"/>
          <w:i w:val="0"/>
          <w:color w:val="1F2937"/>
          <w:sz w:val="22"/>
        </w:rPr>
        <w:t>☐ Los flujos críticos cuentan con pruebas automatizadas y casos negativos.</w:t>
      </w:r>
    </w:p>
    <w:p>
      <w:pPr>
        <w:pStyle w:val="ListBullet"/>
        <w:spacing w:after="100"/>
        <w:ind w:left="720" w:hanging="360"/>
      </w:pPr>
      <w:r>
        <w:rPr>
          <w:rFonts w:ascii="Calibri" w:hAnsi="Calibri"/>
          <w:b w:val="0"/>
          <w:i w:val="0"/>
          <w:color w:val="1F2937"/>
          <w:sz w:val="22"/>
        </w:rPr>
        <w:t>☐ No existen selectores globales duplicados sin justificación documentada.</w:t>
      </w:r>
    </w:p>
    <w:p>
      <w:pPr>
        <w:pStyle w:val="ListBullet"/>
        <w:spacing w:after="100"/>
        <w:ind w:left="720" w:hanging="360"/>
      </w:pPr>
      <w:r>
        <w:rPr>
          <w:rFonts w:ascii="Calibri" w:hAnsi="Calibri"/>
          <w:b w:val="0"/>
          <w:i w:val="0"/>
          <w:color w:val="1F2937"/>
          <w:sz w:val="22"/>
        </w:rPr>
        <w:t>☐ El esquema local, producción y documentación describen la misma realidad.</w:t>
      </w:r>
    </w:p>
    <w:p>
      <w:pPr>
        <w:pStyle w:val="Heading1"/>
      </w:pPr>
      <w:r>
        <w:t>12. Conclusión</w:t>
      </w:r>
    </w:p>
    <w:p>
      <w:r>
        <w:t>GamificApp posee una base técnica coherente con su alcance de tesis y una implementación funcional sustancial. La prioridad no debe ser añadir capacidades, sino endurecer los límites de confianza, estabilizar la identidad y persistencia, introducir una red mínima de pruebas y reducir acoplamiento visual y estructural. Una vez atendidos los hallazgos P0 y P1, el resto puede ejecutarse como una fase controlada de saneamiento sin alterar el producto.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F6B78"/>
        <w:sz w:val="18"/>
      </w:rPr>
      <w:t>Informe de auditoría estática - 8 de julio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F6B78"/>
        <w:sz w:val="18"/>
      </w:rPr>
      <w:t>GAMIFICAPP  |  AUDITORÍA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15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F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Técnica Integral de GamificApp</dc:title>
  <dc:subject>Arquitectura, seguridad, deuda técnica y QA</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