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AD6F" w14:textId="3A6604DB" w:rsidR="00F57D5B" w:rsidRDefault="00963D87" w:rsidP="004F2C9D">
      <w:pPr>
        <w:pStyle w:val="1"/>
        <w:spacing w:beforeLines="100" w:before="381" w:afterLines="50" w:after="190"/>
        <w:rPr>
          <w:b w:val="0"/>
          <w:bCs w:val="0"/>
        </w:rPr>
      </w:pPr>
      <w:r>
        <w:rPr>
          <w:rFonts w:hint="eastAsia"/>
          <w:b w:val="0"/>
          <w:bCs w:val="0"/>
        </w:rPr>
        <w:t>洞穴寓言与哲学家的政治责任</w:t>
      </w:r>
      <w:r w:rsidR="00C078C4" w:rsidRPr="00C078C4">
        <w:rPr>
          <w:rFonts w:hint="eastAsia"/>
          <w:b w:val="0"/>
          <w:bCs w:val="0"/>
          <w:vertAlign w:val="superscript"/>
        </w:rPr>
        <w:t>*</w:t>
      </w:r>
    </w:p>
    <w:p w14:paraId="451121F3" w14:textId="01BE6B41" w:rsidR="004816A4" w:rsidRPr="004816A4" w:rsidRDefault="004816A4" w:rsidP="004816A4">
      <w:pPr>
        <w:spacing w:beforeLines="100" w:before="381" w:afterLines="100" w:after="381"/>
        <w:ind w:firstLineChars="0" w:firstLine="0"/>
        <w:jc w:val="center"/>
        <w:rPr>
          <w:rFonts w:eastAsia="方正楷体_GBK" w:hint="eastAsia"/>
        </w:rPr>
      </w:pPr>
      <w:r w:rsidRPr="004816A4">
        <w:rPr>
          <w:rFonts w:eastAsia="方正楷体_GBK" w:hint="eastAsia"/>
        </w:rPr>
        <w:t>李凌浩</w:t>
      </w:r>
      <w:r w:rsidRPr="004816A4">
        <w:rPr>
          <w:rFonts w:eastAsia="方正楷体_GBK" w:hint="eastAsia"/>
        </w:rPr>
        <w:t xml:space="preserve"> </w:t>
      </w:r>
      <w:r w:rsidRPr="004816A4">
        <w:rPr>
          <w:rFonts w:eastAsia="方正楷体_GBK"/>
        </w:rPr>
        <w:t>20181052113</w:t>
      </w:r>
    </w:p>
    <w:p w14:paraId="706CAF02" w14:textId="0C93A4F7" w:rsidR="00C341B0" w:rsidRDefault="004F2C9D" w:rsidP="00F721AA">
      <w:pPr>
        <w:spacing w:afterLines="50" w:after="190"/>
        <w:ind w:firstLine="480"/>
      </w:pPr>
      <w:r>
        <w:rPr>
          <w:rFonts w:hint="eastAsia"/>
        </w:rPr>
        <w:t>在洞穴隐喻中，柏拉图试图通过一个被“遮蔽”的世界来反衬那真正“是”的世界。</w:t>
      </w:r>
      <w:r w:rsidR="002A6FF4">
        <w:rPr>
          <w:rFonts w:hint="eastAsia"/>
        </w:rPr>
        <w:t>在洞穴中被绑缚着成长的人，只能看到火光投射的影子——不是“</w:t>
      </w:r>
      <w:r w:rsidR="00EC3A8E">
        <w:rPr>
          <w:rFonts w:hint="eastAsia"/>
        </w:rPr>
        <w:t>是</w:t>
      </w:r>
      <w:r w:rsidR="002A6FF4">
        <w:rPr>
          <w:rFonts w:hint="eastAsia"/>
        </w:rPr>
        <w:t>”本身</w:t>
      </w:r>
      <w:r w:rsidR="00EC3A8E">
        <w:rPr>
          <w:rFonts w:hint="eastAsia"/>
        </w:rPr>
        <w:t>而</w:t>
      </w:r>
      <w:r w:rsidR="002A6FF4">
        <w:rPr>
          <w:rFonts w:hint="eastAsia"/>
        </w:rPr>
        <w:t>是“</w:t>
      </w:r>
      <w:r w:rsidR="00EC3A8E">
        <w:rPr>
          <w:rFonts w:hint="eastAsia"/>
        </w:rPr>
        <w:t>是</w:t>
      </w:r>
      <w:r w:rsidR="002A6FF4">
        <w:rPr>
          <w:rFonts w:hint="eastAsia"/>
        </w:rPr>
        <w:t>”的映像</w:t>
      </w:r>
      <w:r w:rsidR="00EC3A8E">
        <w:rPr>
          <w:rStyle w:val="a5"/>
        </w:rPr>
        <w:footnoteReference w:id="1"/>
      </w:r>
      <w:r w:rsidR="00CC358B">
        <w:rPr>
          <w:rFonts w:hint="eastAsia"/>
        </w:rPr>
        <w:t>。他们中的很多人</w:t>
      </w:r>
      <w:r w:rsidR="002A6FF4">
        <w:rPr>
          <w:rFonts w:hint="eastAsia"/>
        </w:rPr>
        <w:t>甚至</w:t>
      </w:r>
      <w:r w:rsidR="00CC358B">
        <w:rPr>
          <w:rFonts w:hint="eastAsia"/>
        </w:rPr>
        <w:t>可能</w:t>
      </w:r>
      <w:r w:rsidR="002A6FF4">
        <w:rPr>
          <w:rFonts w:hint="eastAsia"/>
        </w:rPr>
        <w:t>将山洞之外的景象当作虚幻而将洞穴中的投影视为真实世界</w:t>
      </w:r>
      <w:r w:rsidR="00CC358B">
        <w:rPr>
          <w:rFonts w:hint="eastAsia"/>
        </w:rPr>
        <w:t>，</w:t>
      </w:r>
      <w:r w:rsidR="002A6FF4">
        <w:rPr>
          <w:rFonts w:hint="eastAsia"/>
        </w:rPr>
        <w:t>而能够摆脱洞穴中的映像拥抱太阳（</w:t>
      </w:r>
      <w:r w:rsidR="00554B34">
        <w:rPr>
          <w:rFonts w:hint="eastAsia"/>
        </w:rPr>
        <w:t>真实之因</w:t>
      </w:r>
      <w:r w:rsidR="002A6FF4">
        <w:rPr>
          <w:rFonts w:hint="eastAsia"/>
        </w:rPr>
        <w:t>）的人，也就不愿再回到原来的山洞中了，即使愿意，也会被从前和他一道观看投影的人当作异类。</w:t>
      </w:r>
      <w:r w:rsidR="000C1D4E">
        <w:rPr>
          <w:rFonts w:hint="eastAsia"/>
        </w:rPr>
        <w:t>洞穴隐喻是另一个对</w:t>
      </w:r>
      <w:r w:rsidR="00EC3A8E">
        <w:rPr>
          <w:rFonts w:hint="eastAsia"/>
        </w:rPr>
        <w:t>现实生活</w:t>
      </w:r>
      <w:r w:rsidR="000C1D4E">
        <w:rPr>
          <w:rFonts w:hint="eastAsia"/>
        </w:rPr>
        <w:t>的</w:t>
      </w:r>
      <w:r w:rsidR="00C62570">
        <w:rPr>
          <w:rFonts w:hint="eastAsia"/>
        </w:rPr>
        <w:t>比喻</w:t>
      </w:r>
      <w:r w:rsidR="000C1D4E">
        <w:rPr>
          <w:rFonts w:hint="eastAsia"/>
        </w:rPr>
        <w:t>，被绑缚者即使有观察和思考的天性，也无法接近“是”或者“真”，只有被解除了山洞生活束缚的人，才有可能过上哲学的生活。</w:t>
      </w:r>
      <w:r w:rsidR="002A6FF4">
        <w:rPr>
          <w:rFonts w:hint="eastAsia"/>
        </w:rPr>
        <w:t>柏拉图用山洞譬喻城邦的现实，</w:t>
      </w:r>
      <w:r w:rsidR="00554B34">
        <w:rPr>
          <w:rFonts w:hint="eastAsia"/>
        </w:rPr>
        <w:t>对第六卷提到的思辨思维的上升性和第一性作出了解释</w:t>
      </w:r>
      <w:r w:rsidR="00EC3A8E">
        <w:rPr>
          <w:rFonts w:hint="eastAsia"/>
        </w:rPr>
        <w:t>，并解释由可见世界到思辨世界的转换和“上升”（</w:t>
      </w:r>
      <w:r w:rsidR="00EC3A8E">
        <w:rPr>
          <w:rFonts w:hint="eastAsia"/>
        </w:rPr>
        <w:t>5</w:t>
      </w:r>
      <w:r w:rsidR="00EC3A8E">
        <w:t>17</w:t>
      </w:r>
      <w:r w:rsidR="00EC3A8E">
        <w:rPr>
          <w:rFonts w:hint="eastAsia"/>
        </w:rPr>
        <w:t>b</w:t>
      </w:r>
      <w:r w:rsidR="00EC3A8E">
        <w:rPr>
          <w:rFonts w:hint="eastAsia"/>
        </w:rPr>
        <w:t>）</w:t>
      </w:r>
      <w:r w:rsidR="000C1D4E">
        <w:rPr>
          <w:rFonts w:hint="eastAsia"/>
        </w:rPr>
        <w:t>。这种上升性和第一性带来的问题是，它让哲学家在具备统治城邦的资格的同时，也排斥世俗的、在下的</w:t>
      </w:r>
      <w:r w:rsidR="00EC3A8E">
        <w:rPr>
          <w:rFonts w:hint="eastAsia"/>
        </w:rPr>
        <w:t>、</w:t>
      </w:r>
      <w:r w:rsidR="000C1D4E">
        <w:rPr>
          <w:rFonts w:hint="eastAsia"/>
        </w:rPr>
        <w:t>“低等”的生活，“走向那些被捆绑的人</w:t>
      </w:r>
      <w:r w:rsidR="00467A6D">
        <w:rPr>
          <w:rFonts w:hint="eastAsia"/>
        </w:rPr>
        <w:t>，分有不论是这些人的苦难或是他们的荣誉、而不论这（荣誉或苦难）是一些低劣的还是高尚的</w:t>
      </w:r>
      <w:r w:rsidR="000C1D4E">
        <w:rPr>
          <w:rFonts w:hint="eastAsia"/>
        </w:rPr>
        <w:t>”</w:t>
      </w:r>
      <w:r w:rsidR="00467A6D">
        <w:rPr>
          <w:rFonts w:hint="eastAsia"/>
        </w:rPr>
        <w:t>（</w:t>
      </w:r>
      <w:r w:rsidR="00467A6D">
        <w:rPr>
          <w:rFonts w:hint="eastAsia"/>
        </w:rPr>
        <w:t>5</w:t>
      </w:r>
      <w:r w:rsidR="00467A6D">
        <w:t>19</w:t>
      </w:r>
      <w:r w:rsidR="00467A6D">
        <w:rPr>
          <w:rFonts w:hint="eastAsia"/>
        </w:rPr>
        <w:t>d</w:t>
      </w:r>
      <w:r w:rsidR="00467A6D">
        <w:t>-519e</w:t>
      </w:r>
      <w:r w:rsidR="00467A6D">
        <w:rPr>
          <w:rFonts w:hint="eastAsia"/>
        </w:rPr>
        <w:t>）</w:t>
      </w:r>
      <w:r w:rsidR="000C1D4E">
        <w:rPr>
          <w:rFonts w:hint="eastAsia"/>
        </w:rPr>
        <w:t>。</w:t>
      </w:r>
    </w:p>
    <w:p w14:paraId="16046006" w14:textId="77777777" w:rsidR="003146F1" w:rsidRPr="003146F1" w:rsidRDefault="003146F1" w:rsidP="00AB6406">
      <w:pPr>
        <w:spacing w:beforeLines="50" w:before="190"/>
        <w:ind w:firstLineChars="0" w:firstLine="0"/>
        <w:rPr>
          <w:rFonts w:ascii="方正黑体_GBK" w:eastAsia="方正黑体_GBK" w:hAnsi="方正黑体_GBK"/>
        </w:rPr>
      </w:pPr>
      <w:r w:rsidRPr="003146F1">
        <w:rPr>
          <w:rFonts w:ascii="方正黑体_GBK" w:eastAsia="方正黑体_GBK" w:hAnsi="方正黑体_GBK" w:hint="eastAsia"/>
        </w:rPr>
        <w:t>一、洞穴寓言的几个阶段</w:t>
      </w:r>
    </w:p>
    <w:p w14:paraId="40E485F2" w14:textId="77777777" w:rsidR="003146F1" w:rsidRPr="00D2584D" w:rsidRDefault="003146F1" w:rsidP="00A56348">
      <w:pPr>
        <w:spacing w:beforeLines="100" w:before="381"/>
        <w:ind w:leftChars="300" w:left="720" w:firstLine="480"/>
        <w:rPr>
          <w:rFonts w:eastAsia="方正楷体_GBK"/>
          <w:i/>
          <w:iCs/>
        </w:rPr>
      </w:pPr>
      <w:r w:rsidRPr="00D2584D">
        <w:rPr>
          <w:rFonts w:eastAsia="方正楷体_GBK"/>
          <w:i/>
          <w:iCs/>
        </w:rPr>
        <w:t xml:space="preserve">1. </w:t>
      </w:r>
      <w:r w:rsidRPr="00D2584D">
        <w:rPr>
          <w:rFonts w:eastAsia="方正楷体_GBK" w:hint="eastAsia"/>
          <w:i/>
          <w:iCs/>
        </w:rPr>
        <w:t>洞穴世界的构成（</w:t>
      </w:r>
      <w:r w:rsidRPr="00D2584D">
        <w:rPr>
          <w:rFonts w:eastAsia="方正楷体_GBK" w:hint="eastAsia"/>
          <w:i/>
          <w:iCs/>
        </w:rPr>
        <w:t>5</w:t>
      </w:r>
      <w:r w:rsidRPr="00D2584D">
        <w:rPr>
          <w:rFonts w:eastAsia="方正楷体_GBK"/>
          <w:i/>
          <w:iCs/>
        </w:rPr>
        <w:t>41</w:t>
      </w:r>
      <w:r w:rsidRPr="00D2584D">
        <w:rPr>
          <w:rFonts w:eastAsia="方正楷体_GBK" w:hint="eastAsia"/>
          <w:i/>
          <w:iCs/>
        </w:rPr>
        <w:t>a</w:t>
      </w:r>
      <w:r w:rsidRPr="00D2584D">
        <w:rPr>
          <w:rFonts w:eastAsia="方正楷体_GBK"/>
          <w:i/>
          <w:iCs/>
        </w:rPr>
        <w:t>-515</w:t>
      </w:r>
      <w:r w:rsidRPr="00D2584D">
        <w:rPr>
          <w:rFonts w:eastAsia="方正楷体_GBK" w:hint="eastAsia"/>
          <w:i/>
          <w:iCs/>
        </w:rPr>
        <w:t>c</w:t>
      </w:r>
      <w:r w:rsidRPr="00D2584D">
        <w:rPr>
          <w:rFonts w:eastAsia="方正楷体_GBK" w:hint="eastAsia"/>
          <w:i/>
          <w:iCs/>
        </w:rPr>
        <w:t>）</w:t>
      </w:r>
    </w:p>
    <w:p w14:paraId="5C0A3D22" w14:textId="323B18C6" w:rsidR="003146F1" w:rsidRPr="00D2584D" w:rsidRDefault="003146F1" w:rsidP="002C2539">
      <w:pPr>
        <w:ind w:leftChars="300" w:left="720" w:firstLine="480"/>
        <w:rPr>
          <w:rFonts w:eastAsia="方正楷体_GBK"/>
          <w:i/>
          <w:iCs/>
        </w:rPr>
      </w:pPr>
      <w:r w:rsidRPr="00D2584D">
        <w:rPr>
          <w:rFonts w:eastAsia="方正楷体_GBK" w:hint="eastAsia"/>
          <w:i/>
          <w:iCs/>
        </w:rPr>
        <w:t>2</w:t>
      </w:r>
      <w:r w:rsidRPr="00D2584D">
        <w:rPr>
          <w:rFonts w:eastAsia="方正楷体_GBK"/>
          <w:i/>
          <w:iCs/>
        </w:rPr>
        <w:t xml:space="preserve">. </w:t>
      </w:r>
      <w:r w:rsidRPr="00D2584D">
        <w:rPr>
          <w:rFonts w:eastAsia="方正楷体_GBK" w:hint="eastAsia"/>
          <w:i/>
          <w:iCs/>
        </w:rPr>
        <w:t>从洞穴世界上升到洞外世界（</w:t>
      </w:r>
      <w:r w:rsidRPr="00D2584D">
        <w:rPr>
          <w:rFonts w:eastAsia="方正楷体_GBK" w:hint="eastAsia"/>
          <w:i/>
          <w:iCs/>
        </w:rPr>
        <w:t>5</w:t>
      </w:r>
      <w:r w:rsidRPr="00D2584D">
        <w:rPr>
          <w:rFonts w:eastAsia="方正楷体_GBK"/>
          <w:i/>
          <w:iCs/>
        </w:rPr>
        <w:t>15</w:t>
      </w:r>
      <w:r w:rsidRPr="00D2584D">
        <w:rPr>
          <w:rFonts w:eastAsia="方正楷体_GBK" w:hint="eastAsia"/>
          <w:i/>
          <w:iCs/>
        </w:rPr>
        <w:t>c</w:t>
      </w:r>
      <w:r w:rsidRPr="00D2584D">
        <w:rPr>
          <w:rFonts w:eastAsia="方正楷体_GBK"/>
          <w:i/>
          <w:iCs/>
        </w:rPr>
        <w:t>-516</w:t>
      </w:r>
      <w:r w:rsidRPr="00D2584D">
        <w:rPr>
          <w:rFonts w:eastAsia="方正楷体_GBK" w:hint="eastAsia"/>
          <w:i/>
          <w:iCs/>
        </w:rPr>
        <w:t>c</w:t>
      </w:r>
      <w:r w:rsidRPr="00D2584D">
        <w:rPr>
          <w:rFonts w:eastAsia="方正楷体_GBK" w:hint="eastAsia"/>
          <w:i/>
          <w:iCs/>
        </w:rPr>
        <w:t>）</w:t>
      </w:r>
    </w:p>
    <w:p w14:paraId="0FD8315F" w14:textId="77777777" w:rsidR="003146F1" w:rsidRPr="00D2584D" w:rsidRDefault="003146F1" w:rsidP="00A56348">
      <w:pPr>
        <w:spacing w:afterLines="100" w:after="381"/>
        <w:ind w:leftChars="300" w:left="720" w:firstLine="480"/>
        <w:rPr>
          <w:rFonts w:eastAsia="方正楷体_GBK"/>
          <w:i/>
          <w:iCs/>
        </w:rPr>
      </w:pPr>
      <w:r w:rsidRPr="00D2584D">
        <w:rPr>
          <w:rFonts w:eastAsia="方正楷体_GBK" w:hint="eastAsia"/>
          <w:i/>
          <w:iCs/>
        </w:rPr>
        <w:t>3</w:t>
      </w:r>
      <w:r w:rsidRPr="00D2584D">
        <w:rPr>
          <w:rFonts w:eastAsia="方正楷体_GBK"/>
          <w:i/>
          <w:iCs/>
        </w:rPr>
        <w:t xml:space="preserve">. </w:t>
      </w:r>
      <w:r w:rsidRPr="00D2584D">
        <w:rPr>
          <w:rFonts w:eastAsia="方正楷体_GBK" w:hint="eastAsia"/>
          <w:i/>
          <w:iCs/>
        </w:rPr>
        <w:t>从洞外世界回到洞穴世界（</w:t>
      </w:r>
      <w:r w:rsidRPr="00D2584D">
        <w:rPr>
          <w:rFonts w:eastAsia="方正楷体_GBK"/>
          <w:i/>
          <w:iCs/>
        </w:rPr>
        <w:t>516</w:t>
      </w:r>
      <w:r w:rsidRPr="00D2584D">
        <w:rPr>
          <w:rFonts w:eastAsia="方正楷体_GBK" w:hint="eastAsia"/>
          <w:i/>
          <w:iCs/>
        </w:rPr>
        <w:t>c</w:t>
      </w:r>
      <w:r w:rsidRPr="00D2584D">
        <w:rPr>
          <w:rFonts w:eastAsia="方正楷体_GBK"/>
          <w:i/>
          <w:iCs/>
        </w:rPr>
        <w:t>-518</w:t>
      </w:r>
      <w:r w:rsidRPr="00D2584D">
        <w:rPr>
          <w:rFonts w:eastAsia="方正楷体_GBK" w:hint="eastAsia"/>
          <w:i/>
          <w:iCs/>
        </w:rPr>
        <w:t>b</w:t>
      </w:r>
      <w:r w:rsidRPr="00D2584D">
        <w:rPr>
          <w:rFonts w:eastAsia="方正楷体_GBK" w:hint="eastAsia"/>
          <w:i/>
          <w:iCs/>
        </w:rPr>
        <w:t>）</w:t>
      </w:r>
    </w:p>
    <w:p w14:paraId="364C8FF2" w14:textId="7D52C867" w:rsidR="00D2584D" w:rsidRPr="00F739E2" w:rsidRDefault="00D2584D" w:rsidP="00F721AA">
      <w:pPr>
        <w:spacing w:afterLines="50" w:after="190"/>
        <w:ind w:firstLine="480"/>
      </w:pPr>
      <w:r>
        <w:rPr>
          <w:rFonts w:hint="eastAsia"/>
        </w:rPr>
        <w:t>一个幽暗而狭长的通道连接着洞口和洞穴内部，洞穴内有一个篝火和一些能够自由行动的人，火光将他们的影子倒映在石墙上。一些人被绑缚手脚、面对石墙从小生活在洞穴中。苏格拉底</w:t>
      </w:r>
      <w:r w:rsidR="000178DC">
        <w:rPr>
          <w:rFonts w:hint="eastAsia"/>
        </w:rPr>
        <w:t>将善的形式比作洞穴外的世界（</w:t>
      </w:r>
      <w:r w:rsidR="000178DC">
        <w:rPr>
          <w:rFonts w:hint="eastAsia"/>
        </w:rPr>
        <w:t>5</w:t>
      </w:r>
      <w:r w:rsidR="000178DC">
        <w:t>17</w:t>
      </w:r>
      <w:r w:rsidR="000178DC">
        <w:rPr>
          <w:rFonts w:hint="eastAsia"/>
        </w:rPr>
        <w:t>c</w:t>
      </w:r>
      <w:r w:rsidR="000178DC">
        <w:rPr>
          <w:rFonts w:hint="eastAsia"/>
        </w:rPr>
        <w:t>），</w:t>
      </w:r>
      <w:r>
        <w:rPr>
          <w:rFonts w:hint="eastAsia"/>
        </w:rPr>
        <w:t>强调洞穴生活的虚假（或者</w:t>
      </w:r>
      <w:r w:rsidR="000178DC">
        <w:rPr>
          <w:rFonts w:hint="eastAsia"/>
        </w:rPr>
        <w:t>相对洞外世界的</w:t>
      </w:r>
      <w:r>
        <w:rPr>
          <w:rFonts w:hint="eastAsia"/>
        </w:rPr>
        <w:t>“下等”），尽管在从小就面对石墙的那些人之中，可能有天资聪颖者，能够从墙壁影子的变化中发现规律，并由此得到称赞和赞誉，但也是“来自人间的扰攘”</w:t>
      </w:r>
      <w:r w:rsidR="000178DC">
        <w:rPr>
          <w:rFonts w:hint="eastAsia"/>
        </w:rPr>
        <w:t>（</w:t>
      </w:r>
      <w:r w:rsidR="000178DC">
        <w:rPr>
          <w:rFonts w:hint="eastAsia"/>
        </w:rPr>
        <w:t>5</w:t>
      </w:r>
      <w:r w:rsidR="000178DC">
        <w:t>17</w:t>
      </w:r>
      <w:r w:rsidR="000178DC">
        <w:rPr>
          <w:rFonts w:hint="eastAsia"/>
        </w:rPr>
        <w:t>e</w:t>
      </w:r>
      <w:r w:rsidR="000178DC">
        <w:rPr>
          <w:rFonts w:hint="eastAsia"/>
        </w:rPr>
        <w:t>）</w:t>
      </w:r>
      <w:r>
        <w:rPr>
          <w:rFonts w:hint="eastAsia"/>
        </w:rPr>
        <w:t>。</w:t>
      </w:r>
    </w:p>
    <w:p w14:paraId="73EAD230" w14:textId="58DAB8B8" w:rsidR="003146F1" w:rsidRDefault="00EC3A8E" w:rsidP="00F721AA">
      <w:pPr>
        <w:spacing w:afterLines="50" w:after="190"/>
        <w:ind w:firstLine="480"/>
      </w:pPr>
      <w:r>
        <w:rPr>
          <w:rFonts w:hint="eastAsia"/>
        </w:rPr>
        <w:t>而洞外世界对洞内世界的超越，来自于“善”和“思辨”在形式和认知领域中的第一性。</w:t>
      </w:r>
      <w:r w:rsidR="000178DC">
        <w:rPr>
          <w:rFonts w:hint="eastAsia"/>
        </w:rPr>
        <w:t>从洞内向洞外的转向，就是人在可见世界和思维世界</w:t>
      </w:r>
      <w:r w:rsidR="000178DC">
        <w:rPr>
          <w:rFonts w:hint="eastAsia"/>
        </w:rPr>
        <w:lastRenderedPageBreak/>
        <w:t>中把握善和理智、真理的过程，柏拉图称为“上升之路”。洞穴寓言整合了第六卷对善的“太阳喻”和对思维的“线段喻”，而洞外世界对洞内世界的超越同样来自于此</w:t>
      </w:r>
      <w:r w:rsidR="007613AA">
        <w:rPr>
          <w:rFonts w:hint="eastAsia"/>
        </w:rPr>
        <w:t>：</w:t>
      </w:r>
      <w:r w:rsidR="000178DC">
        <w:rPr>
          <w:rFonts w:hint="eastAsia"/>
        </w:rPr>
        <w:t>一方面，善像可见世界的太阳一样，散发日光为可见世界提供存在的条件，</w:t>
      </w:r>
      <w:r w:rsidR="007613AA">
        <w:rPr>
          <w:rFonts w:hint="eastAsia"/>
        </w:rPr>
        <w:t>善的形式在思维世界里为可知事物（“是”）提供原因（</w:t>
      </w:r>
      <w:r w:rsidR="007613AA">
        <w:rPr>
          <w:rFonts w:hint="eastAsia"/>
        </w:rPr>
        <w:t>5</w:t>
      </w:r>
      <w:r w:rsidR="007613AA">
        <w:t>09</w:t>
      </w:r>
      <w:r w:rsidR="007613AA">
        <w:rPr>
          <w:rFonts w:hint="eastAsia"/>
        </w:rPr>
        <w:t>b</w:t>
      </w:r>
      <w:r w:rsidR="007613AA">
        <w:rPr>
          <w:rFonts w:hint="eastAsia"/>
        </w:rPr>
        <w:t>）；一方面，思辨方法在思维世界中通过假设把握本原，在认识中属于最高等级（</w:t>
      </w:r>
      <w:r w:rsidR="007613AA">
        <w:rPr>
          <w:rFonts w:hint="eastAsia"/>
        </w:rPr>
        <w:t>5</w:t>
      </w:r>
      <w:r w:rsidR="007613AA">
        <w:t>09</w:t>
      </w:r>
      <w:r w:rsidR="007613AA">
        <w:rPr>
          <w:rFonts w:hint="eastAsia"/>
        </w:rPr>
        <w:t>c</w:t>
      </w:r>
      <w:r w:rsidR="007613AA">
        <w:t>-511</w:t>
      </w:r>
      <w:r w:rsidR="007613AA">
        <w:rPr>
          <w:rFonts w:hint="eastAsia"/>
        </w:rPr>
        <w:t>e</w:t>
      </w:r>
      <w:r w:rsidR="007613AA">
        <w:rPr>
          <w:rFonts w:hint="eastAsia"/>
        </w:rPr>
        <w:t>）。柏拉图将二者在从洞内到洞外的“上升之路”中做了统合，并将洞外世界的超越性看作洞穴寓言中一个预先构建出来的东西。最后，尽管洞内世界、墙上的倒影也有“是”和“存在”的成分，被隔绝了日光的洞内世界中的人是永远无法发现它的本原的，只有不断向洞外攀升，才有可能见到太阳（善、“是”的原因），摆脱洞内的蒙昧状态。</w:t>
      </w:r>
    </w:p>
    <w:p w14:paraId="3BF48776" w14:textId="59682740" w:rsidR="007613AA" w:rsidRDefault="00AB6406" w:rsidP="00F721AA">
      <w:pPr>
        <w:spacing w:afterLines="50" w:after="190"/>
        <w:ind w:firstLine="480"/>
      </w:pPr>
      <w:r>
        <w:rPr>
          <w:rFonts w:hint="eastAsia"/>
        </w:rPr>
        <w:t>另一个重要的过程，是从洞外世界“下到”到洞内世界。柏拉图并不认为善的形式是自明的，能为所有人</w:t>
      </w:r>
      <w:r w:rsidR="00963D87">
        <w:rPr>
          <w:rFonts w:hint="eastAsia"/>
        </w:rPr>
        <w:t>直观</w:t>
      </w:r>
      <w:r>
        <w:rPr>
          <w:rFonts w:hint="eastAsia"/>
        </w:rPr>
        <w:t>顺利地理解，人们甚至不能理解已经窥得善的形式、真理的人的行动。从洞内到洞外的上升过程，从洞内人的角度来看也是“离群”的过程，</w:t>
      </w:r>
      <w:r w:rsidR="00EC3A8E">
        <w:rPr>
          <w:rFonts w:hint="eastAsia"/>
        </w:rPr>
        <w:t>用柏拉图自己的话来说，是“两眼适应和转换的过程”，不论是从洞内走到洞外、还是从洞外下到洞内，都会有“眼睛的混乱”（</w:t>
      </w:r>
      <w:r w:rsidR="00EC3A8E">
        <w:rPr>
          <w:rFonts w:hint="eastAsia"/>
        </w:rPr>
        <w:t>5</w:t>
      </w:r>
      <w:r w:rsidR="00EC3A8E">
        <w:t>17</w:t>
      </w:r>
      <w:r w:rsidR="00EC3A8E">
        <w:rPr>
          <w:rFonts w:hint="eastAsia"/>
        </w:rPr>
        <w:t>a</w:t>
      </w:r>
      <w:r w:rsidR="00EC3A8E">
        <w:t xml:space="preserve">, </w:t>
      </w:r>
      <w:r w:rsidR="00EC3A8E">
        <w:rPr>
          <w:rFonts w:hint="eastAsia"/>
        </w:rPr>
        <w:t>5</w:t>
      </w:r>
      <w:r w:rsidR="00EC3A8E">
        <w:t>18a-518b</w:t>
      </w:r>
      <w:r w:rsidR="00EC3A8E">
        <w:rPr>
          <w:rFonts w:hint="eastAsia"/>
        </w:rPr>
        <w:t>），</w:t>
      </w:r>
      <w:r w:rsidR="00AC2C02">
        <w:rPr>
          <w:rFonts w:hint="eastAsia"/>
        </w:rPr>
        <w:t>这种混乱，从洞内蒙昧者的角度对哲学家下到世俗生活造成了阻碍</w:t>
      </w:r>
      <w:r w:rsidR="00AC2C02">
        <w:rPr>
          <w:rStyle w:val="a5"/>
        </w:rPr>
        <w:footnoteReference w:id="2"/>
      </w:r>
      <w:r w:rsidR="00AC2C02">
        <w:rPr>
          <w:rFonts w:hint="eastAsia"/>
        </w:rPr>
        <w:t>，但这种阻碍不足以和哲学生活的吸引力相比较：</w:t>
      </w:r>
    </w:p>
    <w:p w14:paraId="5AB2B208" w14:textId="3C4B0899" w:rsidR="00AC2C02" w:rsidRPr="00AC2C02" w:rsidRDefault="00AC2C02" w:rsidP="00F721AA">
      <w:pPr>
        <w:spacing w:beforeLines="50" w:before="190" w:afterLines="50" w:after="190"/>
        <w:ind w:leftChars="200" w:left="480" w:firstLine="480"/>
        <w:rPr>
          <w:rFonts w:ascii="方正楷体_GBK" w:eastAsia="方正楷体_GBK" w:hAnsi="方正楷体_GBK"/>
        </w:rPr>
      </w:pPr>
      <w:r w:rsidRPr="00AC2C02">
        <w:rPr>
          <w:rFonts w:ascii="方正楷体_GBK" w:eastAsia="方正楷体_GBK" w:hAnsi="方正楷体_GBK" w:hint="eastAsia"/>
        </w:rPr>
        <w:t>凡是已经到达了那里的人，他们就不再愿意来处理有关人间的事了。而是，他们的灵魂总是倾向于和盼望着想要不断地停留和优游在这个高度上。</w:t>
      </w:r>
      <w:r w:rsidR="002F6633">
        <w:rPr>
          <w:rFonts w:ascii="方正楷体_GBK" w:eastAsia="方正楷体_GBK" w:hAnsi="方正楷体_GBK" w:hint="eastAsia"/>
        </w:rPr>
        <w:t>（</w:t>
      </w:r>
      <w:r w:rsidR="002F6633" w:rsidRPr="002F6633">
        <w:rPr>
          <w:rFonts w:eastAsia="方正楷体_GBK" w:cs="Times New Roman"/>
        </w:rPr>
        <w:t>517d</w:t>
      </w:r>
      <w:r w:rsidR="002F6633">
        <w:rPr>
          <w:rFonts w:ascii="方正楷体_GBK" w:eastAsia="方正楷体_GBK" w:hAnsi="方正楷体_GBK" w:hint="eastAsia"/>
        </w:rPr>
        <w:t>）</w:t>
      </w:r>
    </w:p>
    <w:p w14:paraId="669CAF18" w14:textId="62BE9F90" w:rsidR="002F6633" w:rsidRDefault="002F6633" w:rsidP="00F721AA">
      <w:pPr>
        <w:ind w:firstLine="480"/>
      </w:pPr>
      <w:r>
        <w:rPr>
          <w:rFonts w:hint="eastAsia"/>
        </w:rPr>
        <w:t>来自思维世界的吸引力，一方面</w:t>
      </w:r>
      <w:r w:rsidR="00E96565">
        <w:rPr>
          <w:rFonts w:hint="eastAsia"/>
        </w:rPr>
        <w:t>使具有最好天性的</w:t>
      </w:r>
      <w:r>
        <w:rPr>
          <w:rFonts w:hint="eastAsia"/>
        </w:rPr>
        <w:t>哲学家远离可见世界和世俗生活</w:t>
      </w:r>
      <w:r w:rsidR="00963D87">
        <w:rPr>
          <w:rStyle w:val="a5"/>
        </w:rPr>
        <w:footnoteReference w:id="3"/>
      </w:r>
      <w:r>
        <w:rPr>
          <w:rFonts w:hint="eastAsia"/>
        </w:rPr>
        <w:t>，另一方面，又恰恰让他们成为掌管城邦的最好人选：既能把握真理和理智</w:t>
      </w:r>
      <w:r w:rsidR="00E96565">
        <w:rPr>
          <w:rFonts w:hint="eastAsia"/>
        </w:rPr>
        <w:t>、</w:t>
      </w:r>
      <w:r>
        <w:rPr>
          <w:rFonts w:hint="eastAsia"/>
        </w:rPr>
        <w:t>够正确处理私人和公共事务，又漠视人世间的权力和利益。</w:t>
      </w:r>
    </w:p>
    <w:p w14:paraId="56ECD426" w14:textId="77777777" w:rsidR="000178DC" w:rsidRPr="002C2539" w:rsidRDefault="007179B1" w:rsidP="002C2539">
      <w:pPr>
        <w:spacing w:beforeLines="50" w:before="190"/>
        <w:ind w:firstLineChars="0" w:firstLine="0"/>
        <w:rPr>
          <w:rFonts w:ascii="方正黑体_GBK" w:eastAsia="方正黑体_GBK" w:hAnsi="方正黑体_GBK"/>
        </w:rPr>
      </w:pPr>
      <w:r w:rsidRPr="002C2539">
        <w:rPr>
          <w:rFonts w:ascii="方正黑体_GBK" w:eastAsia="方正黑体_GBK" w:hAnsi="方正黑体_GBK" w:hint="eastAsia"/>
        </w:rPr>
        <w:lastRenderedPageBreak/>
        <w:t>二、哲学家为何要回到城邦？</w:t>
      </w:r>
    </w:p>
    <w:p w14:paraId="1EF9805C" w14:textId="1FB96FF9" w:rsidR="007179B1" w:rsidRDefault="000178DC" w:rsidP="00F721AA">
      <w:pPr>
        <w:spacing w:afterLines="50" w:after="190"/>
        <w:ind w:firstLine="480"/>
      </w:pPr>
      <w:r>
        <w:rPr>
          <w:rFonts w:hint="eastAsia"/>
        </w:rPr>
        <w:t>在《理想国》中，哲学家对掌管城邦经常持排斥而不屑一顾的态度，另一方面，柏拉图也认为，哲学家的福祉和公众的、城邦的福祉之间是同一的（</w:t>
      </w:r>
      <w:r>
        <w:rPr>
          <w:rFonts w:hint="eastAsia"/>
        </w:rPr>
        <w:t>4</w:t>
      </w:r>
      <w:r>
        <w:t>97a</w:t>
      </w:r>
      <w:r>
        <w:rPr>
          <w:rFonts w:hint="eastAsia"/>
        </w:rPr>
        <w:t>）。尽管哲学家在追求真和善的道路上无暇他顾也无需旁顾，但对超越了世俗生活的哲学家而言，在内心深处似乎还是具有对城邦的向往，而脱胎于健康的城邦生活与教育的哲学家，则背负着服务城邦的义务。</w:t>
      </w:r>
    </w:p>
    <w:p w14:paraId="37EBA4B5" w14:textId="1E3CC0C6" w:rsidR="00963D87" w:rsidRDefault="000B51EF" w:rsidP="00F721AA">
      <w:pPr>
        <w:spacing w:afterLines="50" w:after="190"/>
        <w:ind w:firstLine="480"/>
      </w:pPr>
      <w:r>
        <w:rPr>
          <w:rFonts w:hint="eastAsia"/>
        </w:rPr>
        <w:t>柏拉图在第六卷和第七卷中，分别讨论了“碰巧产生”的哲学家和“被有意引导”的哲学家，在两卷中，哲学家出现原因的不同也许构成了从第六卷到第七卷的一个递进关系：哲学家的产生是艰难的，一度是偶然的，需要特殊的境遇，而理想的城邦要求哲人的“绘制”，因而需要从城邦中培育这样的哲学家</w:t>
      </w:r>
      <w:r w:rsidR="005F7A89">
        <w:rPr>
          <w:rFonts w:hint="eastAsia"/>
        </w:rPr>
        <w:t>。第七卷中，</w:t>
      </w:r>
      <w:r w:rsidR="00E96565">
        <w:rPr>
          <w:rFonts w:hint="eastAsia"/>
        </w:rPr>
        <w:t>在城邦里受到精心的培养和引导，成长为哲学家的人，城邦对其有养育之恩，故而他们对城邦负有报偿的义务</w:t>
      </w:r>
      <w:r w:rsidR="00E96565">
        <w:rPr>
          <w:rFonts w:hint="eastAsia"/>
        </w:rPr>
        <w:t>（</w:t>
      </w:r>
      <w:r w:rsidR="00E96565">
        <w:rPr>
          <w:rFonts w:hint="eastAsia"/>
        </w:rPr>
        <w:t>5</w:t>
      </w:r>
      <w:r w:rsidR="00E96565">
        <w:t>20b-520c</w:t>
      </w:r>
      <w:r w:rsidR="00E96565">
        <w:rPr>
          <w:rFonts w:hint="eastAsia"/>
        </w:rPr>
        <w:t>）</w:t>
      </w:r>
      <w:r w:rsidR="00E96565">
        <w:rPr>
          <w:rFonts w:hint="eastAsia"/>
        </w:rPr>
        <w:t>，基于同样的原因，这也是对“正义的人下达的正义的命令”（</w:t>
      </w:r>
      <w:r w:rsidR="00E96565">
        <w:rPr>
          <w:rFonts w:hint="eastAsia"/>
        </w:rPr>
        <w:t>5</w:t>
      </w:r>
      <w:r w:rsidR="00E96565">
        <w:t>20</w:t>
      </w:r>
      <w:r w:rsidR="00E96565">
        <w:rPr>
          <w:rFonts w:hint="eastAsia"/>
        </w:rPr>
        <w:t>d</w:t>
      </w:r>
      <w:r w:rsidR="00E96565">
        <w:rPr>
          <w:rFonts w:hint="eastAsia"/>
        </w:rPr>
        <w:t>）。</w:t>
      </w:r>
    </w:p>
    <w:p w14:paraId="2DD778FE" w14:textId="20D51A8E" w:rsidR="005F7A89" w:rsidRDefault="005F7A89" w:rsidP="005F7A89">
      <w:pPr>
        <w:spacing w:afterLines="50" w:after="190"/>
        <w:ind w:firstLine="480"/>
      </w:pPr>
      <w:r>
        <w:rPr>
          <w:rFonts w:hint="eastAsia"/>
        </w:rPr>
        <w:t>而</w:t>
      </w:r>
      <w:r w:rsidR="00F721AA">
        <w:rPr>
          <w:rFonts w:hint="eastAsia"/>
        </w:rPr>
        <w:t>第六卷</w:t>
      </w:r>
      <w:r w:rsidR="00963D87" w:rsidRPr="00963D87">
        <w:rPr>
          <w:rFonts w:hint="eastAsia"/>
        </w:rPr>
        <w:t>（柏拉图的）苏格拉底所说的，是在正式的城邦和世俗生活之外成长的哲学家，他们因各种原因（被逐、生病）远离城邦生活而保有天性的清明，或者因天性鄙薄城邦事务和世俗行业走向哲学，在混乱的城邦政治中全身而退，但无法达成“最大的成就”。（</w:t>
      </w:r>
      <w:r w:rsidR="00963D87" w:rsidRPr="00963D87">
        <w:rPr>
          <w:rFonts w:hint="eastAsia"/>
        </w:rPr>
        <w:t>496b-497b</w:t>
      </w:r>
      <w:r w:rsidR="00963D87" w:rsidRPr="00963D87">
        <w:rPr>
          <w:rFonts w:hint="eastAsia"/>
        </w:rPr>
        <w:t>）这一段对话的前半部分和洞穴寓言所譬喻的现实有相似之处，而后半部分所说的“最大的成就”是指这些偶然成长起来的人，在城邦中“既有益于自己也有益于他人”（</w:t>
      </w:r>
      <w:r w:rsidR="00963D87" w:rsidRPr="00963D87">
        <w:rPr>
          <w:rFonts w:hint="eastAsia"/>
        </w:rPr>
        <w:t>496d</w:t>
      </w:r>
      <w:r w:rsidR="00963D87" w:rsidRPr="00963D87">
        <w:rPr>
          <w:rFonts w:hint="eastAsia"/>
        </w:rPr>
        <w:t>）</w:t>
      </w:r>
      <w:r>
        <w:rPr>
          <w:rFonts w:hint="eastAsia"/>
        </w:rPr>
        <w:t>，也就是统治城邦</w:t>
      </w:r>
      <w:r w:rsidR="00963D87" w:rsidRPr="00963D87">
        <w:rPr>
          <w:rFonts w:hint="eastAsia"/>
        </w:rPr>
        <w:t>。但另一方面，这一“成就”和整个城邦的善好（柏拉图在第七卷安排哲学家统治城邦的依据）读起来并不是一个东西，因为</w:t>
      </w:r>
      <w:r w:rsidR="00E96565">
        <w:rPr>
          <w:rFonts w:hint="eastAsia"/>
        </w:rPr>
        <w:t>“</w:t>
      </w:r>
      <w:r w:rsidR="00963D87" w:rsidRPr="00963D87">
        <w:rPr>
          <w:rFonts w:hint="eastAsia"/>
        </w:rPr>
        <w:t>成就</w:t>
      </w:r>
      <w:r w:rsidR="00E96565">
        <w:rPr>
          <w:rFonts w:hint="eastAsia"/>
        </w:rPr>
        <w:t>”</w:t>
      </w:r>
      <w:r w:rsidR="00963D87" w:rsidRPr="00963D87">
        <w:rPr>
          <w:rFonts w:hint="eastAsia"/>
        </w:rPr>
        <w:t>所带来的益处既指向了哲学家，也指向了公众（城邦）。所以，可以对柏拉图讨论的哲学家进行区分，一类是碰巧产生的，而另一类是被有意</w:t>
      </w:r>
      <w:r>
        <w:rPr>
          <w:rFonts w:hint="eastAsia"/>
        </w:rPr>
        <w:t>导向哲学生活</w:t>
      </w:r>
      <w:r w:rsidR="00963D87" w:rsidRPr="00963D87">
        <w:rPr>
          <w:rFonts w:hint="eastAsia"/>
        </w:rPr>
        <w:t>中的。而碰巧产生的哲学家，他们同样需要通过城邦来达到最大的善好，但城邦并未养育他们，引导他们过上哲思的生活，这是两种哲学家不同的地方</w:t>
      </w:r>
      <w:r>
        <w:rPr>
          <w:rFonts w:hint="eastAsia"/>
        </w:rPr>
        <w:t>。</w:t>
      </w:r>
      <w:r w:rsidR="00963D87" w:rsidRPr="00963D87">
        <w:rPr>
          <w:rFonts w:hint="eastAsia"/>
        </w:rPr>
        <w:t>这种比较，是否说明无论哲学家是否出于城邦的引导，他们对改善城邦政制、达成善好，至少在内心深处负有同样的感情上的驱力，因而除开柏拉图在第七卷中为哲学家重新下到世俗生活所陈述的理由外，还有其他的原因</w:t>
      </w:r>
      <w:r>
        <w:rPr>
          <w:rFonts w:hint="eastAsia"/>
        </w:rPr>
        <w:t>？</w:t>
      </w:r>
    </w:p>
    <w:p w14:paraId="2A688BDC" w14:textId="572834DF" w:rsidR="005F7A89" w:rsidRDefault="004816A4" w:rsidP="005F7A89">
      <w:pPr>
        <w:spacing w:afterLines="50" w:after="190"/>
        <w:ind w:firstLine="480"/>
        <w:rPr>
          <w:rFonts w:hint="eastAsia"/>
        </w:rPr>
      </w:pPr>
      <w:r>
        <w:rPr>
          <w:rFonts w:hint="eastAsia"/>
        </w:rPr>
        <w:t>问题似乎可以这样表述：</w:t>
      </w:r>
      <w:r w:rsidR="005F7A89">
        <w:rPr>
          <w:rFonts w:hint="eastAsia"/>
        </w:rPr>
        <w:t>哲学家是否以城邦为手段？哲学家与城邦之间的紧张，仅仅是“水手”对真正善于航行的人的提防，哲学家如果不是受到城邦的培养，就不必被迫统治城邦；</w:t>
      </w:r>
      <w:r w:rsidR="00BA6CD8">
        <w:rPr>
          <w:rFonts w:hint="eastAsia"/>
        </w:rPr>
        <w:t>还是说，哲学家对城邦是抱有感情（无法忍受比他差的人进行统治）、抑或是需要城邦来完成他对善好的追求的？</w:t>
      </w:r>
    </w:p>
    <w:sectPr w:rsidR="005F7A89" w:rsidSect="00404891">
      <w:headerReference w:type="even" r:id="rId7"/>
      <w:headerReference w:type="default" r:id="rId8"/>
      <w:footerReference w:type="even" r:id="rId9"/>
      <w:footerReference w:type="default" r:id="rId10"/>
      <w:headerReference w:type="first" r:id="rId11"/>
      <w:footerReference w:type="first" r:id="rId12"/>
      <w:pgSz w:w="11906" w:h="16838"/>
      <w:pgMar w:top="1418" w:right="2155" w:bottom="1418" w:left="2155"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28AB" w14:textId="77777777" w:rsidR="007975B4" w:rsidRDefault="007975B4" w:rsidP="0011336C">
      <w:pPr>
        <w:ind w:firstLine="480"/>
      </w:pPr>
      <w:r>
        <w:separator/>
      </w:r>
    </w:p>
  </w:endnote>
  <w:endnote w:type="continuationSeparator" w:id="0">
    <w:p w14:paraId="7B4AE8DC" w14:textId="77777777" w:rsidR="007975B4" w:rsidRDefault="007975B4" w:rsidP="0011336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方正仿宋_GBK">
    <w:panose1 w:val="02000000000000000000"/>
    <w:charset w:val="86"/>
    <w:family w:val="auto"/>
    <w:pitch w:val="variable"/>
    <w:sig w:usb0="A00002BF" w:usb1="38CF7CFA" w:usb2="00082016" w:usb3="00000000" w:csb0="00040001" w:csb1="00000000"/>
  </w:font>
  <w:font w:name="方正小标宋_GBK">
    <w:panose1 w:val="02000000000000000000"/>
    <w:charset w:val="86"/>
    <w:family w:val="auto"/>
    <w:pitch w:val="variable"/>
    <w:sig w:usb0="A00002BF"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2000000000000000000"/>
    <w:charset w:val="86"/>
    <w:family w:val="auto"/>
    <w:pitch w:val="variable"/>
    <w:sig w:usb0="A00002BF" w:usb1="38CF7CFA" w:usb2="00082016" w:usb3="00000000" w:csb0="00040001" w:csb1="00000000"/>
  </w:font>
  <w:font w:name="方正黑体_GBK">
    <w:panose1 w:val="02000000000000000000"/>
    <w:charset w:val="86"/>
    <w:family w:val="auto"/>
    <w:pitch w:val="variable"/>
    <w:sig w:usb0="A00002BF" w:usb1="38CF7CFA" w:usb2="00082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B2D5" w14:textId="77777777" w:rsidR="00A56348" w:rsidRDefault="00A5634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34962"/>
      <w:docPartObj>
        <w:docPartGallery w:val="Page Numbers (Bottom of Page)"/>
        <w:docPartUnique/>
      </w:docPartObj>
    </w:sdtPr>
    <w:sdtContent>
      <w:p w14:paraId="5CF9D50E" w14:textId="08AAF1F7" w:rsidR="00A56348" w:rsidRDefault="00A56348">
        <w:pPr>
          <w:pStyle w:val="a8"/>
          <w:ind w:firstLine="360"/>
          <w:jc w:val="center"/>
        </w:pPr>
        <w:r>
          <w:fldChar w:fldCharType="begin"/>
        </w:r>
        <w:r>
          <w:instrText>PAGE   \* MERGEFORMAT</w:instrText>
        </w:r>
        <w:r>
          <w:fldChar w:fldCharType="separate"/>
        </w:r>
        <w:r>
          <w:rPr>
            <w:lang w:val="zh-CN"/>
          </w:rPr>
          <w:t>2</w:t>
        </w:r>
        <w:r>
          <w:fldChar w:fldCharType="end"/>
        </w:r>
      </w:p>
    </w:sdtContent>
  </w:sdt>
  <w:p w14:paraId="49578B24" w14:textId="77777777" w:rsidR="00A56348" w:rsidRDefault="00A5634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6B3D" w14:textId="77777777" w:rsidR="00A56348" w:rsidRDefault="00A5634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A670" w14:textId="77777777" w:rsidR="007975B4" w:rsidRDefault="007975B4" w:rsidP="0011336C">
      <w:pPr>
        <w:ind w:firstLine="480"/>
      </w:pPr>
      <w:r>
        <w:separator/>
      </w:r>
    </w:p>
  </w:footnote>
  <w:footnote w:type="continuationSeparator" w:id="0">
    <w:p w14:paraId="4E1ABB2A" w14:textId="77777777" w:rsidR="007975B4" w:rsidRDefault="007975B4" w:rsidP="0011336C">
      <w:pPr>
        <w:ind w:firstLine="480"/>
      </w:pPr>
      <w:r>
        <w:continuationSeparator/>
      </w:r>
    </w:p>
  </w:footnote>
  <w:footnote w:id="1">
    <w:p w14:paraId="1D9AF893" w14:textId="2BBD7FF8" w:rsidR="00C078C4" w:rsidRPr="00C078C4" w:rsidRDefault="00C078C4">
      <w:pPr>
        <w:pStyle w:val="a3"/>
        <w:ind w:firstLine="360"/>
        <w:rPr>
          <w:rFonts w:hint="eastAsia"/>
        </w:rPr>
      </w:pPr>
      <w:r w:rsidRPr="00C078C4">
        <w:rPr>
          <w:rFonts w:hint="eastAsia"/>
          <w:vertAlign w:val="superscript"/>
        </w:rPr>
        <w:t>*</w:t>
      </w:r>
      <w:r w:rsidRPr="00C078C4">
        <w:rPr>
          <w:vertAlign w:val="superscript"/>
        </w:rPr>
        <w:t xml:space="preserve"> </w:t>
      </w:r>
      <w:r>
        <w:rPr>
          <w:rFonts w:hint="eastAsia"/>
        </w:rPr>
        <w:t>柏拉图，《理想国》，顾寿观译，吴天岳校，长沙：岳麓书社，</w:t>
      </w:r>
      <w:r w:rsidR="00670DAB">
        <w:rPr>
          <w:rFonts w:hint="eastAsia"/>
        </w:rPr>
        <w:t>2</w:t>
      </w:r>
      <w:r w:rsidR="00670DAB">
        <w:t>010</w:t>
      </w:r>
      <w:r w:rsidR="00670DAB">
        <w:rPr>
          <w:rFonts w:hint="eastAsia"/>
        </w:rPr>
        <w:t>。</w:t>
      </w:r>
    </w:p>
    <w:p w14:paraId="01FCB2BC" w14:textId="23D0D57E" w:rsidR="00EC3A8E" w:rsidRPr="00EC3A8E" w:rsidRDefault="00EC3A8E">
      <w:pPr>
        <w:pStyle w:val="a3"/>
        <w:ind w:firstLine="360"/>
      </w:pPr>
      <w:r>
        <w:rPr>
          <w:rStyle w:val="a5"/>
        </w:rPr>
        <w:footnoteRef/>
      </w:r>
      <w:r>
        <w:t xml:space="preserve"> </w:t>
      </w:r>
      <w:r>
        <w:rPr>
          <w:rFonts w:hint="eastAsia"/>
        </w:rPr>
        <w:t>“在这个居处中的火焰的光亮，要把它比作是太阳的能力和作用”（</w:t>
      </w:r>
      <w:r>
        <w:rPr>
          <w:rFonts w:hint="eastAsia"/>
        </w:rPr>
        <w:t>5</w:t>
      </w:r>
      <w:r>
        <w:t>17</w:t>
      </w:r>
      <w:r>
        <w:rPr>
          <w:rFonts w:hint="eastAsia"/>
        </w:rPr>
        <w:t>b</w:t>
      </w:r>
      <w:r>
        <w:t>-517</w:t>
      </w:r>
      <w:r>
        <w:rPr>
          <w:rFonts w:hint="eastAsia"/>
        </w:rPr>
        <w:t>c</w:t>
      </w:r>
      <w:r>
        <w:rPr>
          <w:rFonts w:hint="eastAsia"/>
        </w:rPr>
        <w:t>）。</w:t>
      </w:r>
    </w:p>
  </w:footnote>
  <w:footnote w:id="2">
    <w:p w14:paraId="4F1405F9" w14:textId="3AD5E71C" w:rsidR="00AC2C02" w:rsidRPr="00AC2C02" w:rsidRDefault="00AC2C02">
      <w:pPr>
        <w:pStyle w:val="a3"/>
        <w:ind w:firstLine="360"/>
      </w:pPr>
      <w:r>
        <w:rPr>
          <w:rStyle w:val="a5"/>
        </w:rPr>
        <w:footnoteRef/>
      </w:r>
      <w:r>
        <w:t xml:space="preserve"> </w:t>
      </w:r>
      <w:r>
        <w:rPr>
          <w:rFonts w:hint="eastAsia"/>
        </w:rPr>
        <w:t>这种阻碍甚至可能威胁到哲学家的生命。“而谁如果试图去解脱他们并且引导他们向上走，那就只要有人能够把他（哲学家）弄到手并且能够杀死他，他们就会把他杀死的”（</w:t>
      </w:r>
      <w:r>
        <w:rPr>
          <w:rFonts w:hint="eastAsia"/>
        </w:rPr>
        <w:t>5</w:t>
      </w:r>
      <w:r>
        <w:t>17</w:t>
      </w:r>
      <w:r>
        <w:rPr>
          <w:rFonts w:hint="eastAsia"/>
        </w:rPr>
        <w:t>a</w:t>
      </w:r>
      <w:r>
        <w:rPr>
          <w:rFonts w:hint="eastAsia"/>
        </w:rPr>
        <w:t>，括号内容是自己加的。）但这种极端的反抗并没有得到充分的解释，洞穴寓言中所描述的上升之路的痛苦，似乎并不足以构成人们杀死哲学家的动机。考虑到船喻中对税收的描述，也许政治是主要原因。</w:t>
      </w:r>
    </w:p>
  </w:footnote>
  <w:footnote w:id="3">
    <w:p w14:paraId="7BD05F02" w14:textId="45FC4D79" w:rsidR="00963D87" w:rsidRPr="00AB6406" w:rsidRDefault="00963D87" w:rsidP="00963D87">
      <w:pPr>
        <w:pStyle w:val="a3"/>
        <w:ind w:firstLine="360"/>
      </w:pPr>
      <w:r>
        <w:rPr>
          <w:rStyle w:val="a5"/>
        </w:rPr>
        <w:footnoteRef/>
      </w:r>
      <w:r>
        <w:t xml:space="preserve"> </w:t>
      </w:r>
      <w:r w:rsidRPr="00C93D5A">
        <w:rPr>
          <w:rFonts w:hint="eastAsia"/>
          <w:b/>
          <w:bCs/>
        </w:rPr>
        <w:t>可能</w:t>
      </w:r>
      <w:r w:rsidRPr="002F6633">
        <w:rPr>
          <w:rFonts w:hint="eastAsia"/>
          <w:b/>
          <w:bCs/>
        </w:rPr>
        <w:t>柏拉图正是想要</w:t>
      </w:r>
      <w:r>
        <w:rPr>
          <w:rFonts w:hint="eastAsia"/>
          <w:b/>
          <w:bCs/>
        </w:rPr>
        <w:t>引申出</w:t>
      </w:r>
      <w:r w:rsidRPr="002F6633">
        <w:rPr>
          <w:rFonts w:hint="eastAsia"/>
          <w:b/>
          <w:bCs/>
        </w:rPr>
        <w:t>这一点，才</w:t>
      </w:r>
      <w:r>
        <w:rPr>
          <w:rFonts w:hint="eastAsia"/>
          <w:b/>
          <w:bCs/>
        </w:rPr>
        <w:t>用</w:t>
      </w:r>
      <w:r w:rsidRPr="002F6633">
        <w:rPr>
          <w:rFonts w:hint="eastAsia"/>
          <w:b/>
          <w:bCs/>
        </w:rPr>
        <w:t>洞穴</w:t>
      </w:r>
      <w:r>
        <w:rPr>
          <w:rFonts w:hint="eastAsia"/>
          <w:b/>
          <w:bCs/>
        </w:rPr>
        <w:t>寓言</w:t>
      </w:r>
      <w:r>
        <w:rPr>
          <w:rFonts w:hint="eastAsia"/>
          <w:b/>
          <w:bCs/>
        </w:rPr>
        <w:t>隐喻哲学家和城邦之间的关系</w:t>
      </w:r>
      <w:r>
        <w:rPr>
          <w:rFonts w:hint="eastAsia"/>
        </w:rPr>
        <w:t>。在第六卷中，太阳喻和线段喻之间的关系并不是那么明晰，特别对善的讨论一部分被留到了后文（</w:t>
      </w:r>
      <w:r>
        <w:rPr>
          <w:rFonts w:hint="eastAsia"/>
        </w:rPr>
        <w:t>5</w:t>
      </w:r>
      <w:r>
        <w:t>09</w:t>
      </w:r>
      <w:r>
        <w:rPr>
          <w:rFonts w:hint="eastAsia"/>
        </w:rPr>
        <w:t>a</w:t>
      </w:r>
      <w:r>
        <w:rPr>
          <w:rFonts w:hint="eastAsia"/>
        </w:rPr>
        <w:t>），洞穴寓言是对善的形式和思辨活动在各自领域的最高性的进一步说明，而这种最高性在第六卷中已经指明了。</w:t>
      </w:r>
      <w:r>
        <w:rPr>
          <w:rFonts w:hint="eastAsia"/>
        </w:rPr>
        <w:t>洞穴寓言将对真理和理智的把握与哲学家对思维世界的探索结合起来，</w:t>
      </w:r>
      <w:r w:rsidR="00F721AA">
        <w:rPr>
          <w:rFonts w:hint="eastAsia"/>
        </w:rPr>
        <w:t>想要从可见世界到可知世界的角度，说明哲学家对真理的追求（以及在这一过程中产生的“明智”）与城邦众人之间的紧张？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9E7B" w14:textId="77777777" w:rsidR="00A56348" w:rsidRDefault="00A5634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1914" w14:textId="77777777" w:rsidR="00A56348" w:rsidRDefault="00A56348" w:rsidP="00A5634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8689" w14:textId="77777777" w:rsidR="00A56348" w:rsidRDefault="00A56348">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BB"/>
    <w:rsid w:val="00004973"/>
    <w:rsid w:val="000178DC"/>
    <w:rsid w:val="000945A1"/>
    <w:rsid w:val="000B51EF"/>
    <w:rsid w:val="000C1D4E"/>
    <w:rsid w:val="0011336C"/>
    <w:rsid w:val="001D5080"/>
    <w:rsid w:val="002A6FF4"/>
    <w:rsid w:val="002C2539"/>
    <w:rsid w:val="002E7D1B"/>
    <w:rsid w:val="002F6633"/>
    <w:rsid w:val="003146F1"/>
    <w:rsid w:val="00342D53"/>
    <w:rsid w:val="003D37B5"/>
    <w:rsid w:val="00404891"/>
    <w:rsid w:val="00467A6D"/>
    <w:rsid w:val="004816A4"/>
    <w:rsid w:val="004F2C9D"/>
    <w:rsid w:val="005532E2"/>
    <w:rsid w:val="00554B34"/>
    <w:rsid w:val="005B147D"/>
    <w:rsid w:val="005F7A89"/>
    <w:rsid w:val="006410DB"/>
    <w:rsid w:val="00670DAB"/>
    <w:rsid w:val="007179B1"/>
    <w:rsid w:val="007613AA"/>
    <w:rsid w:val="007975B4"/>
    <w:rsid w:val="008060D5"/>
    <w:rsid w:val="008C38E2"/>
    <w:rsid w:val="00963D87"/>
    <w:rsid w:val="00A40E56"/>
    <w:rsid w:val="00A56348"/>
    <w:rsid w:val="00A90630"/>
    <w:rsid w:val="00AB6406"/>
    <w:rsid w:val="00AC2C02"/>
    <w:rsid w:val="00B06EEA"/>
    <w:rsid w:val="00B14C94"/>
    <w:rsid w:val="00B25879"/>
    <w:rsid w:val="00BA6CD8"/>
    <w:rsid w:val="00BE7A52"/>
    <w:rsid w:val="00C078C4"/>
    <w:rsid w:val="00C341B0"/>
    <w:rsid w:val="00C62570"/>
    <w:rsid w:val="00C93D5A"/>
    <w:rsid w:val="00CC358B"/>
    <w:rsid w:val="00D074C5"/>
    <w:rsid w:val="00D174C2"/>
    <w:rsid w:val="00D2584D"/>
    <w:rsid w:val="00D715C6"/>
    <w:rsid w:val="00DB46BB"/>
    <w:rsid w:val="00E96565"/>
    <w:rsid w:val="00EC3A8E"/>
    <w:rsid w:val="00F57D5B"/>
    <w:rsid w:val="00F721AA"/>
    <w:rsid w:val="00F7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B661"/>
  <w15:chartTrackingRefBased/>
  <w15:docId w15:val="{891F2177-3EF0-4BDF-AEA4-968A2157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973"/>
    <w:pPr>
      <w:widowControl w:val="0"/>
      <w:ind w:firstLineChars="200" w:firstLine="200"/>
      <w:jc w:val="both"/>
    </w:pPr>
    <w:rPr>
      <w:rFonts w:ascii="Times New Roman" w:eastAsia="方正仿宋_GBK" w:hAnsi="Times New Roman"/>
      <w:sz w:val="24"/>
    </w:rPr>
  </w:style>
  <w:style w:type="paragraph" w:styleId="1">
    <w:name w:val="heading 1"/>
    <w:basedOn w:val="a"/>
    <w:next w:val="a"/>
    <w:link w:val="10"/>
    <w:uiPriority w:val="9"/>
    <w:qFormat/>
    <w:rsid w:val="00004973"/>
    <w:pPr>
      <w:spacing w:line="520" w:lineRule="exact"/>
      <w:ind w:firstLineChars="0" w:firstLine="0"/>
      <w:jc w:val="center"/>
      <w:outlineLvl w:val="0"/>
    </w:pPr>
    <w:rPr>
      <w:rFonts w:eastAsia="方正小标宋_GBK"/>
      <w:b/>
      <w:bCs/>
      <w:color w:val="000000" w:themeColor="text1"/>
      <w:kern w:val="44"/>
      <w:sz w:val="44"/>
      <w:szCs w:val="44"/>
    </w:rPr>
  </w:style>
  <w:style w:type="paragraph" w:styleId="2">
    <w:name w:val="heading 2"/>
    <w:basedOn w:val="a"/>
    <w:next w:val="a"/>
    <w:link w:val="20"/>
    <w:uiPriority w:val="9"/>
    <w:unhideWhenUsed/>
    <w:qFormat/>
    <w:rsid w:val="00004973"/>
    <w:pPr>
      <w:spacing w:beforeLines="50" w:before="50" w:line="520" w:lineRule="exact"/>
      <w:ind w:firstLineChars="0" w:firstLine="0"/>
      <w:jc w:val="center"/>
      <w:outlineLvl w:val="1"/>
    </w:pPr>
    <w:rPr>
      <w:rFonts w:eastAsia="黑体"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973"/>
    <w:rPr>
      <w:rFonts w:ascii="Times New Roman" w:eastAsia="方正小标宋_GBK" w:hAnsi="Times New Roman"/>
      <w:b/>
      <w:bCs/>
      <w:color w:val="000000" w:themeColor="text1"/>
      <w:kern w:val="44"/>
      <w:sz w:val="44"/>
      <w:szCs w:val="44"/>
    </w:rPr>
  </w:style>
  <w:style w:type="character" w:customStyle="1" w:styleId="20">
    <w:name w:val="标题 2 字符"/>
    <w:basedOn w:val="a0"/>
    <w:link w:val="2"/>
    <w:uiPriority w:val="9"/>
    <w:rsid w:val="00004973"/>
    <w:rPr>
      <w:rFonts w:ascii="Times New Roman" w:eastAsia="黑体" w:hAnsi="Times New Roman" w:cstheme="majorBidi"/>
      <w:bCs/>
      <w:sz w:val="28"/>
      <w:szCs w:val="32"/>
    </w:rPr>
  </w:style>
  <w:style w:type="paragraph" w:styleId="a3">
    <w:name w:val="footnote text"/>
    <w:basedOn w:val="a"/>
    <w:link w:val="a4"/>
    <w:uiPriority w:val="99"/>
    <w:semiHidden/>
    <w:unhideWhenUsed/>
    <w:qFormat/>
    <w:rsid w:val="00B06EEA"/>
    <w:pPr>
      <w:snapToGrid w:val="0"/>
      <w:jc w:val="left"/>
    </w:pPr>
    <w:rPr>
      <w:sz w:val="18"/>
      <w:szCs w:val="18"/>
    </w:rPr>
  </w:style>
  <w:style w:type="character" w:customStyle="1" w:styleId="a4">
    <w:name w:val="脚注文本 字符"/>
    <w:basedOn w:val="a0"/>
    <w:link w:val="a3"/>
    <w:uiPriority w:val="99"/>
    <w:semiHidden/>
    <w:rsid w:val="00B06EEA"/>
    <w:rPr>
      <w:rFonts w:ascii="Times New Roman" w:eastAsia="方正仿宋_GBK" w:hAnsi="Times New Roman"/>
      <w:sz w:val="18"/>
      <w:szCs w:val="18"/>
    </w:rPr>
  </w:style>
  <w:style w:type="character" w:styleId="a5">
    <w:name w:val="footnote reference"/>
    <w:basedOn w:val="a0"/>
    <w:uiPriority w:val="99"/>
    <w:semiHidden/>
    <w:unhideWhenUsed/>
    <w:rsid w:val="0011336C"/>
    <w:rPr>
      <w:vertAlign w:val="superscript"/>
    </w:rPr>
  </w:style>
  <w:style w:type="paragraph" w:styleId="a6">
    <w:name w:val="header"/>
    <w:basedOn w:val="a"/>
    <w:link w:val="a7"/>
    <w:uiPriority w:val="99"/>
    <w:unhideWhenUsed/>
    <w:rsid w:val="00A563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6348"/>
    <w:rPr>
      <w:rFonts w:ascii="Times New Roman" w:eastAsia="方正仿宋_GBK" w:hAnsi="Times New Roman"/>
      <w:sz w:val="18"/>
      <w:szCs w:val="18"/>
    </w:rPr>
  </w:style>
  <w:style w:type="paragraph" w:styleId="a8">
    <w:name w:val="footer"/>
    <w:basedOn w:val="a"/>
    <w:link w:val="a9"/>
    <w:uiPriority w:val="99"/>
    <w:unhideWhenUsed/>
    <w:rsid w:val="00A56348"/>
    <w:pPr>
      <w:tabs>
        <w:tab w:val="center" w:pos="4153"/>
        <w:tab w:val="right" w:pos="8306"/>
      </w:tabs>
      <w:snapToGrid w:val="0"/>
      <w:jc w:val="left"/>
    </w:pPr>
    <w:rPr>
      <w:sz w:val="18"/>
      <w:szCs w:val="18"/>
    </w:rPr>
  </w:style>
  <w:style w:type="character" w:customStyle="1" w:styleId="a9">
    <w:name w:val="页脚 字符"/>
    <w:basedOn w:val="a0"/>
    <w:link w:val="a8"/>
    <w:uiPriority w:val="99"/>
    <w:rsid w:val="00A56348"/>
    <w:rPr>
      <w:rFonts w:ascii="Times New Roman" w:eastAsia="方正仿宋_GBK"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03063-C614-41F0-B9CB-9015F45B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13</cp:revision>
  <dcterms:created xsi:type="dcterms:W3CDTF">2021-05-05T00:55:00Z</dcterms:created>
  <dcterms:modified xsi:type="dcterms:W3CDTF">2021-05-10T11:31:00Z</dcterms:modified>
</cp:coreProperties>
</file>