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0"/>
      </w:pPr>
    </w:p>
    <w:p>
      <w:pPr>
        <w:jc w:val="center"/>
      </w:pPr>
      <w:r>
        <w:rPr>
          <w:sz w:val="96"/>
          <w:szCs w:val="96"/>
        </w:rPr>
        <w:t xml:space="preserve">📚</w:t>
      </w:r>
    </w:p>
    <w:p>
      <w:pPr>
        <w:spacing w:after="200"/>
      </w:pPr>
    </w:p>
    <w:p>
      <w:pPr>
        <w:jc w:val="center"/>
      </w:pPr>
      <w:r>
        <w:rPr>
          <w:rFonts w:ascii="Calibri" w:cs="Calibri" w:eastAsia="Calibri" w:hAnsi="Calibri"/>
          <w:b/>
          <w:bCs/>
          <w:color w:val="0F766E"/>
          <w:sz w:val="72"/>
          <w:szCs w:val="72"/>
        </w:rPr>
        <w:t xml:space="preserve">StudyNest</w:t>
      </w:r>
    </w:p>
    <w:p>
      <w:pPr>
        <w:spacing w:after="400"/>
        <w:jc w:val="center"/>
      </w:pPr>
      <w:r>
        <w:rPr>
          <w:rFonts w:ascii="Calibri" w:cs="Calibri" w:eastAsia="Calibri" w:hAnsi="Calibri"/>
          <w:i/>
          <w:iCs/>
          <w:color w:val="1F2937"/>
          <w:sz w:val="28"/>
          <w:szCs w:val="28"/>
        </w:rPr>
        <w:t xml:space="preserve">L'espace numérique personnel de l'étudiant</w:t>
      </w:r>
    </w:p>
    <w:p>
      <w:pPr>
        <w:spacing w:after="200"/>
      </w:pPr>
    </w:p>
    <w:p>
      <w:pPr>
        <w:jc w:val="center"/>
      </w:pPr>
      <w:r>
        <w:rPr>
          <w:rFonts w:ascii="Calibri" w:cs="Calibri" w:eastAsia="Calibri" w:hAnsi="Calibri"/>
          <w:b/>
          <w:bCs/>
          <w:color w:val="1F2937"/>
          <w:sz w:val="36"/>
          <w:szCs w:val="36"/>
        </w:rPr>
        <w:t xml:space="preserve">CAHIER DES CHARGES</w:t>
      </w:r>
    </w:p>
    <w:p>
      <w:pPr>
        <w:spacing w:after="800"/>
        <w:jc w:val="center"/>
      </w:pPr>
      <w:r>
        <w:rPr>
          <w:rFonts w:ascii="Calibri" w:cs="Calibri" w:eastAsia="Calibri" w:hAnsi="Calibri"/>
          <w:color w:val="6B7280"/>
          <w:sz w:val="22"/>
          <w:szCs w:val="22"/>
        </w:rPr>
        <w:t xml:space="preserve">Version 1.0 — Application mobile Android (Play Store)</w:t>
      </w:r>
    </w:p>
    <w:p>
      <w:pPr>
        <w:jc w:val="center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Date : 30 juillet 2026</w:t>
      </w:r>
    </w:p>
    <w:p>
      <w:r>
        <w:br w:type="page"/>
      </w:r>
    </w:p>
    <w:p>
      <w:pPr>
        <w:pStyle w:val="Heading1"/>
        <w:pBdr>
          <w:bottom w:val="single" w:color="0F766E" w:sz="8" w:space="4"/>
        </w:pBdr>
        <w:spacing w:after="240" w:before="480"/>
      </w:pPr>
      <w:r>
        <w:rPr>
          <w:rFonts w:ascii="Calibri" w:cs="Calibri" w:eastAsia="Calibri" w:hAnsi="Calibri"/>
          <w:b/>
          <w:bCs/>
          <w:color w:val="1F2937"/>
          <w:sz w:val="32"/>
          <w:szCs w:val="32"/>
        </w:rPr>
        <w:t xml:space="preserve">Sommaire</w:t>
      </w:r>
    </w:p>
    <w:sdt>
      <w:sdtPr>
        <w:alias w:val="Sommaire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0F766E" w:sz="8" w:space="4"/>
        </w:pBdr>
        <w:spacing w:after="240" w:before="480"/>
      </w:pPr>
      <w:r>
        <w:rPr>
          <w:rFonts w:ascii="Calibri" w:cs="Calibri" w:eastAsia="Calibri" w:hAnsi="Calibri"/>
          <w:b/>
          <w:bCs/>
          <w:color w:val="1F2937"/>
          <w:sz w:val="32"/>
          <w:szCs w:val="32"/>
        </w:rPr>
        <w:t xml:space="preserve">1. Présentation du projet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0F766E"/>
          <w:sz w:val="26"/>
          <w:szCs w:val="26"/>
        </w:rPr>
        <w:t xml:space="preserve">1.1 Nom du projet</w:t>
      </w:r>
    </w:p>
    <w:p>
      <w:pPr>
        <w:spacing w:after="160" w:line="30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StudyNest — application mobile Android destinée aux étudiants pour organiser l'ensemble de leur vie universitaire (cours, TD, TP, examens, notes) dans un espace personnel structuré, personnalisable et agréable à utiliser au quotidien.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0F766E"/>
          <w:sz w:val="26"/>
          <w:szCs w:val="26"/>
        </w:rPr>
        <w:t xml:space="preserve">1.2 Résumé du concept</w:t>
      </w:r>
    </w:p>
    <w:p>
      <w:pPr>
        <w:spacing w:after="160" w:line="30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Contrairement à un simple espace de stockage type Google Drive, StudyNest organise les documents par semestre, matière et type de contenu, avec des outils pensés spécifiquement pour les besoins des étudiants : prise de notes, favoris, recherche intelligente, partage de dossiers entre camarades, et une interface personnalisable par thèmes visuels immersifs (Sakura, Océan, Galaxie, Bibliothèque, Forêt, etc.).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0F766E"/>
          <w:sz w:val="26"/>
          <w:szCs w:val="26"/>
        </w:rPr>
        <w:t xml:space="preserve">1.3 Porteur de projet</w:t>
      </w:r>
    </w:p>
    <w:p>
      <w:pPr>
        <w:spacing w:after="160" w:line="30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Projet individuel — premier projet destiné à une publication sur le Google Play Store.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0F766E"/>
          <w:sz w:val="26"/>
          <w:szCs w:val="26"/>
        </w:rPr>
        <w:t xml:space="preserve">1.4 Vision produit</w:t>
      </w:r>
    </w:p>
    <w:p>
      <w:pPr>
        <w:spacing w:after="160" w:line="30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Le succès de StudyNest ne reposera pas uniquement sur le stockage de fichiers, mais sur l'expérience utilisateur : une interface élégante, créative et agréable, qui donne envie aux étudiants de revenir chaque jour plutôt que d'utiliser Drive ou leurs dossiers classiques.</w:t>
      </w:r>
    </w:p>
    <w:p>
      <w:pPr>
        <w:pStyle w:val="Heading1"/>
        <w:pBdr>
          <w:bottom w:val="single" w:color="0F766E" w:sz="8" w:space="4"/>
        </w:pBdr>
        <w:spacing w:after="240" w:before="480"/>
      </w:pPr>
      <w:r>
        <w:rPr>
          <w:rFonts w:ascii="Calibri" w:cs="Calibri" w:eastAsia="Calibri" w:hAnsi="Calibri"/>
          <w:b/>
          <w:bCs/>
          <w:color w:val="1F2937"/>
          <w:sz w:val="32"/>
          <w:szCs w:val="32"/>
        </w:rPr>
        <w:t xml:space="preserve">2. Contexte et problématique</w:t>
      </w:r>
    </w:p>
    <w:p>
      <w:pPr>
        <w:spacing w:after="160" w:line="30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Les étudiants accumulent chaque semestre une grande quantité de documents (cours, TD, TP, photos de tableau, examens corrigés) dispersés entre le stockage du téléphone, des applications de messagerie, des e-mails et des services cloud génériques.</w:t>
      </w:r>
    </w:p>
    <w:p>
      <w:pPr>
        <w:pStyle w:val="Heading3"/>
        <w:spacing w:after="120" w:before="22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2.1 Problèmes identifiés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sz w:val="22"/>
          <w:szCs w:val="22"/>
        </w:rPr>
        <w:t xml:space="preserve">Documents dispersés entre plusieurs applications (WhatsApp, Drive, Galerie, e-mail).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sz w:val="22"/>
          <w:szCs w:val="22"/>
        </w:rPr>
        <w:t xml:space="preserve">Absence de structure adaptée à la logique académique (semestre / matière / type de document).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sz w:val="22"/>
          <w:szCs w:val="22"/>
        </w:rPr>
        <w:t xml:space="preserve">Perte de temps lors de la recherche d'un document précis avant un examen.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sz w:val="22"/>
          <w:szCs w:val="22"/>
        </w:rPr>
        <w:t xml:space="preserve">Manque d'outils dédiés : pas de suivi de moyenne, pas de planning d'examens intégré.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sz w:val="22"/>
          <w:szCs w:val="22"/>
        </w:rPr>
        <w:t xml:space="preserve">Applications de stockage génériques peu engageantes et peu personnalisables.</w:t>
      </w:r>
    </w:p>
    <w:p>
      <w:pPr>
        <w:pStyle w:val="Heading3"/>
        <w:spacing w:after="120" w:before="22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2.2 Opportunité</w:t>
      </w:r>
    </w:p>
    <w:p>
      <w:pPr>
        <w:spacing w:after="160" w:line="30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Il n'existe pas, à ce jour, d'application mobile grand public combinant organisation académique structurée, prise de notes, et personnalisation visuelle poussée (thèmes immersifs). Cette combinaison constitue l'axe de différenciation principal de StudyNest sur le Play Store.</w:t>
      </w:r>
    </w:p>
    <w:p>
      <w:pPr>
        <w:pStyle w:val="Heading1"/>
        <w:pBdr>
          <w:bottom w:val="single" w:color="0F766E" w:sz="8" w:space="4"/>
        </w:pBdr>
        <w:spacing w:after="240" w:before="480"/>
      </w:pPr>
      <w:r>
        <w:rPr>
          <w:rFonts w:ascii="Calibri" w:cs="Calibri" w:eastAsia="Calibri" w:hAnsi="Calibri"/>
          <w:b/>
          <w:bCs/>
          <w:color w:val="1F2937"/>
          <w:sz w:val="32"/>
          <w:szCs w:val="32"/>
        </w:rPr>
        <w:t xml:space="preserve">3. Objectifs du projet</w:t>
      </w:r>
    </w:p>
    <w:p>
      <w:pPr>
        <w:pStyle w:val="Heading3"/>
        <w:spacing w:after="120" w:before="22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3.1 Objectifs fonctionnels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rFonts w:ascii="Calibri" w:cs="Calibri" w:eastAsia="Calibri" w:hAnsi="Calibri"/>
          <w:sz w:val="22"/>
          <w:szCs w:val="22"/>
        </w:rPr>
        <w:t xml:space="preserve">Permettre à un étudiant d'organiser ses documents par semestre, matière et type de contenu.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rFonts w:ascii="Calibri" w:cs="Calibri" w:eastAsia="Calibri" w:hAnsi="Calibri"/>
          <w:sz w:val="22"/>
          <w:szCs w:val="22"/>
        </w:rPr>
        <w:t xml:space="preserve">Offrir un espace de prise de notes intégré à l'application.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rFonts w:ascii="Calibri" w:cs="Calibri" w:eastAsia="Calibri" w:hAnsi="Calibri"/>
          <w:sz w:val="22"/>
          <w:szCs w:val="22"/>
        </w:rPr>
        <w:t xml:space="preserve">Permettre une recherche rapide et pertinente parmi tous les contenus.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rFonts w:ascii="Calibri" w:cs="Calibri" w:eastAsia="Calibri" w:hAnsi="Calibri"/>
          <w:sz w:val="22"/>
          <w:szCs w:val="22"/>
        </w:rPr>
        <w:t xml:space="preserve">Proposer une sauvegarde cloud fiable des données de l'utilisateur.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rFonts w:ascii="Calibri" w:cs="Calibri" w:eastAsia="Calibri" w:hAnsi="Calibri"/>
          <w:sz w:val="22"/>
          <w:szCs w:val="22"/>
        </w:rPr>
        <w:t xml:space="preserve">Permettre le partage simple d'un dossier entre étudiants.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rFonts w:ascii="Calibri" w:cs="Calibri" w:eastAsia="Calibri" w:hAnsi="Calibri"/>
          <w:sz w:val="22"/>
          <w:szCs w:val="22"/>
        </w:rPr>
        <w:t xml:space="preserve">Offrir une personnalisation visuelle forte via des thèmes immersifs.</w:t>
      </w:r>
    </w:p>
    <w:p>
      <w:pPr>
        <w:pStyle w:val="Heading3"/>
        <w:spacing w:after="120" w:before="22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3.2 Objectifs business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sz w:val="22"/>
          <w:szCs w:val="22"/>
        </w:rPr>
        <w:t xml:space="preserve">Publier une version MVP fonctionnelle sur le Play Store en 2 à 4 semaines.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sz w:val="22"/>
          <w:szCs w:val="22"/>
        </w:rPr>
        <w:t xml:space="preserve">Construire une base d'utilisateurs actifs grâce à une expérience différenciante.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sz w:val="22"/>
          <w:szCs w:val="22"/>
        </w:rPr>
        <w:t xml:space="preserve">Mettre en place un modèle freemium avec des fonctionnalités Premium à moyen terme.</w:t>
      </w:r>
    </w:p>
    <w:p>
      <w:pPr>
        <w:pStyle w:val="Heading3"/>
        <w:spacing w:after="120" w:before="22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3.3 Objectifs non-fonctionnels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sz w:val="22"/>
          <w:szCs w:val="22"/>
        </w:rPr>
        <w:t xml:space="preserve">Assurer la fiabilité et la sécurité des données stockées (documents, notes personnelles).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sz w:val="22"/>
          <w:szCs w:val="22"/>
        </w:rPr>
        <w:t xml:space="preserve">Garantir une interface fluide, rapide et intuitive, y compris sur des téléphones d'entrée de gamme.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sz w:val="22"/>
          <w:szCs w:val="22"/>
        </w:rPr>
        <w:t xml:space="preserve">Concevoir une architecture évolutive permettant l'ajout des fonctionnalités V2 et Premium sans refonte majeure.</w:t>
      </w:r>
    </w:p>
    <w:p>
      <w:pPr>
        <w:pStyle w:val="Heading1"/>
        <w:pBdr>
          <w:bottom w:val="single" w:color="0F766E" w:sz="8" w:space="4"/>
        </w:pBdr>
        <w:spacing w:after="240" w:before="480"/>
      </w:pPr>
      <w:r>
        <w:rPr>
          <w:rFonts w:ascii="Calibri" w:cs="Calibri" w:eastAsia="Calibri" w:hAnsi="Calibri"/>
          <w:b/>
          <w:bCs/>
          <w:color w:val="1F2937"/>
          <w:sz w:val="32"/>
          <w:szCs w:val="32"/>
        </w:rPr>
        <w:t xml:space="preserve">4. Public cible</w:t>
      </w:r>
    </w:p>
    <w:p>
      <w:pPr>
        <w:pStyle w:val="Heading3"/>
        <w:spacing w:after="120" w:before="22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4.1 Utilisateurs principaux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sz w:val="22"/>
          <w:szCs w:val="22"/>
        </w:rPr>
        <w:t xml:space="preserve">Étudiants de l'enseignement supérieur (licence, ingénierie, master) utilisant un smartphone Android.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sz w:val="22"/>
          <w:szCs w:val="22"/>
        </w:rPr>
        <w:t xml:space="preserve">Étudiants gérant plusieurs matières par semestre avec un volume important de documents (PDF, photos, scans).</w:t>
      </w:r>
    </w:p>
    <w:p>
      <w:pPr>
        <w:pStyle w:val="Heading3"/>
        <w:spacing w:after="120" w:before="22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4.2 Personas indicatifs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600"/>
        <w:gridCol w:w="3200"/>
      </w:tblGrid>
      <w:tr>
        <w:trPr>
          <w:tblHeader/>
        </w:trPr>
        <w:tc>
          <w:tcPr>
            <w:tcW w:type="dxa" w:w="2600"/>
            <w:shd w:fill="0F766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Persona</w:t>
            </w:r>
          </w:p>
        </w:tc>
        <w:tc>
          <w:tcPr>
            <w:tcW w:type="dxa" w:w="3600"/>
            <w:shd w:fill="0F766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Profil</w:t>
            </w:r>
          </w:p>
        </w:tc>
        <w:tc>
          <w:tcPr>
            <w:tcW w:type="dxa" w:w="3200"/>
            <w:shd w:fill="0F766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Besoin principal</w:t>
            </w:r>
          </w:p>
        </w:tc>
      </w:tr>
      <w:tr>
        <w:tc>
          <w:tcPr>
            <w:tcW w:type="dxa" w:w="2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Eya, 20 ans</w:t>
            </w:r>
          </w:p>
        </w:tc>
        <w:tc>
          <w:tcPr>
            <w:tcW w:type="dxa" w:w="3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Étudiante en télécommunications, très organisée</w:t>
            </w:r>
          </w:p>
        </w:tc>
        <w:tc>
          <w:tcPr>
            <w:tcW w:type="dxa" w:w="3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Structurer ses cours par matière et retrouver rapidement un document avant un examen</w:t>
            </w:r>
          </w:p>
        </w:tc>
      </w:tr>
      <w:tr>
        <w:tc>
          <w:tcPr>
            <w:tcW w:type="dxa" w:w="2600"/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Karim, 22 ans</w:t>
            </w:r>
          </w:p>
        </w:tc>
        <w:tc>
          <w:tcPr>
            <w:tcW w:type="dxa" w:w="3600"/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Étudiant en informatique, travaille souvent en groupe</w:t>
            </w:r>
          </w:p>
        </w:tc>
        <w:tc>
          <w:tcPr>
            <w:tcW w:type="dxa" w:w="3200"/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Partager facilement des dossiers de cours avec ses camarades</w:t>
            </w:r>
          </w:p>
        </w:tc>
      </w:tr>
      <w:tr>
        <w:tc>
          <w:tcPr>
            <w:tcW w:type="dxa" w:w="2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Sarra, 19 ans</w:t>
            </w:r>
          </w:p>
        </w:tc>
        <w:tc>
          <w:tcPr>
            <w:tcW w:type="dxa" w:w="3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Étudiante en première année, attachée à l'esthétique de ses outils</w:t>
            </w:r>
          </w:p>
        </w:tc>
        <w:tc>
          <w:tcPr>
            <w:tcW w:type="dxa" w:w="3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Utiliser une application personnalisable et agréable au quotidien</w:t>
            </w:r>
          </w:p>
        </w:tc>
      </w:tr>
    </w:tbl>
    <w:p>
      <w:pPr>
        <w:pStyle w:val="Heading1"/>
        <w:pBdr>
          <w:bottom w:val="single" w:color="0F766E" w:sz="8" w:space="4"/>
        </w:pBdr>
        <w:spacing w:after="240" w:before="480"/>
      </w:pPr>
      <w:r>
        <w:rPr>
          <w:rFonts w:ascii="Calibri" w:cs="Calibri" w:eastAsia="Calibri" w:hAnsi="Calibri"/>
          <w:b/>
          <w:bCs/>
          <w:color w:val="1F2937"/>
          <w:sz w:val="32"/>
          <w:szCs w:val="32"/>
        </w:rPr>
        <w:t xml:space="preserve">5. Analyse concurrentielle (synthèse)</w:t>
      </w:r>
    </w:p>
    <w:tbl>
      <w:tblPr>
        <w:tblW w:type="dxa" w:w="10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600"/>
        <w:gridCol w:w="3800"/>
      </w:tblGrid>
      <w:tr>
        <w:trPr>
          <w:tblHeader/>
        </w:trPr>
        <w:tc>
          <w:tcPr>
            <w:tcW w:type="dxa" w:w="3200"/>
            <w:shd w:fill="0F766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Solution</w:t>
            </w:r>
          </w:p>
        </w:tc>
        <w:tc>
          <w:tcPr>
            <w:tcW w:type="dxa" w:w="3600"/>
            <w:shd w:fill="0F766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Point fort</w:t>
            </w:r>
          </w:p>
        </w:tc>
        <w:tc>
          <w:tcPr>
            <w:tcW w:type="dxa" w:w="3800"/>
            <w:shd w:fill="0F766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Limite</w:t>
            </w:r>
          </w:p>
        </w:tc>
      </w:tr>
      <w:tr>
        <w:tc>
          <w:tcPr>
            <w:tcW w:type="dxa" w:w="3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Google Drive</w:t>
            </w:r>
          </w:p>
        </w:tc>
        <w:tc>
          <w:tcPr>
            <w:tcW w:type="dxa" w:w="3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Stockage fiable, synchronisation</w:t>
            </w:r>
          </w:p>
        </w:tc>
        <w:tc>
          <w:tcPr>
            <w:tcW w:type="dxa" w:w="3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Aucune structure académique, pas de personnalisation</w:t>
            </w:r>
          </w:p>
        </w:tc>
      </w:tr>
      <w:tr>
        <w:tc>
          <w:tcPr>
            <w:tcW w:type="dxa" w:w="3200"/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Google Keep / Notion</w:t>
            </w:r>
          </w:p>
        </w:tc>
        <w:tc>
          <w:tcPr>
            <w:tcW w:type="dxa" w:w="3600"/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Prise de notes flexible</w:t>
            </w:r>
          </w:p>
        </w:tc>
        <w:tc>
          <w:tcPr>
            <w:tcW w:type="dxa" w:w="3800"/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Pas pensé pour la gestion de documents de cours</w:t>
            </w:r>
          </w:p>
        </w:tc>
      </w:tr>
      <w:tr>
        <w:tc>
          <w:tcPr>
            <w:tcW w:type="dxa" w:w="3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Applications d'emploi du temps étudiant</w:t>
            </w:r>
          </w:p>
        </w:tc>
        <w:tc>
          <w:tcPr>
            <w:tcW w:type="dxa" w:w="3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Bonne gestion du planning</w:t>
            </w:r>
          </w:p>
        </w:tc>
        <w:tc>
          <w:tcPr>
            <w:tcW w:type="dxa" w:w="3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Pas de gestion documentaire ni de notes</w:t>
            </w:r>
          </w:p>
        </w:tc>
      </w:tr>
    </w:tbl>
    <w:p>
      <w:pPr>
        <w:spacing w:after="160" w:line="30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Positionnement de StudyNest : la seule application combinant organisation académique structurée, prise de notes, partage entre étudiants et personnalisation visuelle immersive.</w:t>
      </w:r>
    </w:p>
    <w:p>
      <w:pPr>
        <w:pStyle w:val="Heading1"/>
        <w:pBdr>
          <w:bottom w:val="single" w:color="0F766E" w:sz="8" w:space="4"/>
        </w:pBdr>
        <w:spacing w:after="240" w:before="480"/>
      </w:pPr>
      <w:r>
        <w:rPr>
          <w:rFonts w:ascii="Calibri" w:cs="Calibri" w:eastAsia="Calibri" w:hAnsi="Calibri"/>
          <w:b/>
          <w:bCs/>
          <w:color w:val="1F2937"/>
          <w:sz w:val="32"/>
          <w:szCs w:val="32"/>
        </w:rPr>
        <w:t xml:space="preserve">6. Fonctionnalités — Version 1 (MVP)</w:t>
      </w:r>
    </w:p>
    <w:p>
      <w:pPr>
        <w:spacing w:after="160" w:line="30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Le MVP doit rester simple, stable et rapide à développer (2 à 4 semaines), tout en posant les bases de la différenciation produit.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0F766E"/>
          <w:sz w:val="26"/>
          <w:szCs w:val="26"/>
        </w:rPr>
        <w:t xml:space="preserve">6.1 Gestion des semestres et matières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sz w:val="22"/>
          <w:szCs w:val="22"/>
        </w:rPr>
        <w:t xml:space="preserve">Créer, renommer et supprimer un semestre.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sz w:val="22"/>
          <w:szCs w:val="22"/>
        </w:rPr>
        <w:t xml:space="preserve">Ajouter une matière à un semestre : nom, couleur, icône.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sz w:val="22"/>
          <w:szCs w:val="22"/>
        </w:rPr>
        <w:t xml:space="preserve">Vue d'ensemble des matières sous forme de cartes (nombre de cours, TD, TP, examens).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0F766E"/>
          <w:sz w:val="26"/>
          <w:szCs w:val="26"/>
        </w:rPr>
        <w:t xml:space="preserve">6.2 Gestion des documents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sz w:val="22"/>
          <w:szCs w:val="22"/>
        </w:rPr>
        <w:t xml:space="preserve">Importer un document dans une matière, classé par type : Cours, Résumés, TD, TP, Examens, Photos de tableau.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sz w:val="22"/>
          <w:szCs w:val="22"/>
        </w:rPr>
        <w:t xml:space="preserve">Prendre une photo directement depuis l'application (photo de tableau).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sz w:val="22"/>
          <w:szCs w:val="22"/>
        </w:rPr>
        <w:t xml:space="preserve">Renommer, déplacer, supprimer un document.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sz w:val="22"/>
          <w:szCs w:val="22"/>
        </w:rPr>
        <w:t xml:space="preserve">Prévisualisation des PDF et images sans quitter l'application.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0F766E"/>
          <w:sz w:val="26"/>
          <w:szCs w:val="26"/>
        </w:rPr>
        <w:t xml:space="preserve">6.3 Notes personnelles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sz w:val="22"/>
          <w:szCs w:val="22"/>
        </w:rPr>
        <w:t xml:space="preserve">Créer une note texte libre, associée ou non à une matière.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sz w:val="22"/>
          <w:szCs w:val="22"/>
        </w:rPr>
        <w:t xml:space="preserve">Modifier et supprimer une note.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0F766E"/>
          <w:sz w:val="26"/>
          <w:szCs w:val="26"/>
        </w:rPr>
        <w:t xml:space="preserve">6.4 Favoris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sz w:val="22"/>
          <w:szCs w:val="22"/>
        </w:rPr>
        <w:t xml:space="preserve">Marquer un document ou une note comme favori pour un accès rapide depuis le tableau de bord.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0F766E"/>
          <w:sz w:val="26"/>
          <w:szCs w:val="26"/>
        </w:rPr>
        <w:t xml:space="preserve">6.5 Recherche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sz w:val="22"/>
          <w:szCs w:val="22"/>
        </w:rPr>
        <w:t xml:space="preserve">Recherche globale par mot-clé sur les noms de matières, documents et notes.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sz w:val="22"/>
          <w:szCs w:val="22"/>
        </w:rPr>
        <w:t xml:space="preserve">Résultats filtrables par matière ou par type de document.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0F766E"/>
          <w:sz w:val="26"/>
          <w:szCs w:val="26"/>
        </w:rPr>
        <w:t xml:space="preserve">6.6 Sauvegarde et compte utilisateur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sz w:val="22"/>
          <w:szCs w:val="22"/>
        </w:rPr>
        <w:t xml:space="preserve">Création de compte et connexion (e-mail / Google Sign-In).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sz w:val="22"/>
          <w:szCs w:val="22"/>
        </w:rPr>
        <w:t xml:space="preserve">Synchronisation des données via Firebase (Firestore + Storage).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sz w:val="22"/>
          <w:szCs w:val="22"/>
        </w:rPr>
        <w:t xml:space="preserve">Restauration automatique des données lors d'une connexion sur un nouvel appareil.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0F766E"/>
          <w:sz w:val="26"/>
          <w:szCs w:val="26"/>
        </w:rPr>
        <w:t xml:space="preserve">6.7 Tableau de bord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sz w:val="22"/>
          <w:szCs w:val="22"/>
        </w:rPr>
        <w:t xml:space="preserve">Message d'accueil personnalisé (« Bonjour Eya »).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sz w:val="22"/>
          <w:szCs w:val="22"/>
        </w:rPr>
        <w:t xml:space="preserve">Résumé du jour : cours consultés récemment, nouveaux fichiers, accès aux favoris.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0F766E"/>
          <w:sz w:val="26"/>
          <w:szCs w:val="26"/>
        </w:rPr>
        <w:t xml:space="preserve">6.8 Personnalisation (socle du MVP)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sz w:val="22"/>
          <w:szCs w:val="22"/>
        </w:rPr>
        <w:t xml:space="preserve">Choix entre un thème clair et un thème sombre.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sz w:val="22"/>
          <w:szCs w:val="22"/>
        </w:rPr>
        <w:t xml:space="preserve">Choix d'une couleur d'accent par défaut (base pour les thèmes immersifs de la V2).</w:t>
      </w:r>
    </w:p>
    <w:p>
      <w:r>
        <w:br w:type="page"/>
      </w:r>
    </w:p>
    <w:p>
      <w:pPr>
        <w:pStyle w:val="Heading1"/>
        <w:pBdr>
          <w:bottom w:val="single" w:color="0F766E" w:sz="8" w:space="4"/>
        </w:pBdr>
        <w:spacing w:after="240" w:before="480"/>
      </w:pPr>
      <w:r>
        <w:rPr>
          <w:rFonts w:ascii="Calibri" w:cs="Calibri" w:eastAsia="Calibri" w:hAnsi="Calibri"/>
          <w:b/>
          <w:bCs/>
          <w:color w:val="1F2937"/>
          <w:sz w:val="32"/>
          <w:szCs w:val="32"/>
        </w:rPr>
        <w:t xml:space="preserve">7. Fonctionnalités — Version 2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0F766E"/>
          <w:sz w:val="26"/>
          <w:szCs w:val="26"/>
        </w:rPr>
        <w:t xml:space="preserve">7.1 Outils académiques avancés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sz w:val="22"/>
          <w:szCs w:val="22"/>
        </w:rPr>
        <w:t xml:space="preserve">Calcul automatique de la moyenne par matière et par semestre.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sz w:val="22"/>
          <w:szCs w:val="22"/>
        </w:rPr>
        <w:t xml:space="preserve">Planning des examens avec rappels.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sz w:val="22"/>
          <w:szCs w:val="22"/>
        </w:rPr>
        <w:t xml:space="preserve">Calendrier des devoirs et échéances.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0F766E"/>
          <w:sz w:val="26"/>
          <w:szCs w:val="26"/>
        </w:rPr>
        <w:t xml:space="preserve">7.2 Personnalisation avancée : thèmes immersifs</w:t>
      </w:r>
    </w:p>
    <w:p>
      <w:pPr>
        <w:spacing w:after="160" w:line="30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Élément central de différenciation produit. Chaque thème transforme l'interface dans son ensemble (couleurs, icônes, illustrations, animations, métaphores visuelles), et pas seulement la palette de couleurs.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800"/>
      </w:tblGrid>
      <w:tr>
        <w:trPr>
          <w:tblHeader/>
        </w:trPr>
        <w:tc>
          <w:tcPr>
            <w:tcW w:type="dxa" w:w="2600"/>
            <w:shd w:fill="0F766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Thème</w:t>
            </w:r>
          </w:p>
        </w:tc>
        <w:tc>
          <w:tcPr>
            <w:tcW w:type="dxa" w:w="6800"/>
            <w:shd w:fill="0F766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Métaphore visuelle</w:t>
            </w:r>
          </w:p>
        </w:tc>
      </w:tr>
      <w:tr>
        <w:tc>
          <w:tcPr>
            <w:tcW w:type="dxa" w:w="2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🌸 Sakura</w:t>
            </w:r>
          </w:p>
        </w:tc>
        <w:tc>
          <w:tcPr>
            <w:tcW w:type="dxa" w:w="6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Les matières sont représentées par des pétales sur un cerisier</w:t>
            </w:r>
          </w:p>
        </w:tc>
      </w:tr>
      <w:tr>
        <w:tc>
          <w:tcPr>
            <w:tcW w:type="dxa" w:w="2600"/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🌊 Océan</w:t>
            </w:r>
          </w:p>
        </w:tc>
        <w:tc>
          <w:tcPr>
            <w:tcW w:type="dxa" w:w="6800"/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Les dossiers deviennent des îles, les fichiers des coquillages</w:t>
            </w:r>
          </w:p>
        </w:tc>
      </w:tr>
      <w:tr>
        <w:tc>
          <w:tcPr>
            <w:tcW w:type="dxa" w:w="2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🌌 Galaxie</w:t>
            </w:r>
          </w:p>
        </w:tc>
        <w:tc>
          <w:tcPr>
            <w:tcW w:type="dxa" w:w="6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Chaque matière est une planète, les chapitres des satellites</w:t>
            </w:r>
          </w:p>
        </w:tc>
      </w:tr>
      <w:tr>
        <w:tc>
          <w:tcPr>
            <w:tcW w:type="dxa" w:w="2600"/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📚 Bibliothèque</w:t>
            </w:r>
          </w:p>
        </w:tc>
        <w:tc>
          <w:tcPr>
            <w:tcW w:type="dxa" w:w="6800"/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Les matières sont des livres rangés sur une étagère</w:t>
            </w:r>
          </w:p>
        </w:tc>
      </w:tr>
      <w:tr>
        <w:tc>
          <w:tcPr>
            <w:tcW w:type="dxa" w:w="2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🌲 Forêt</w:t>
            </w:r>
          </w:p>
        </w:tc>
        <w:tc>
          <w:tcPr>
            <w:tcW w:type="dxa" w:w="6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Chaque matière est un arbre qui grandit avec les ajouts de contenu</w:t>
            </w:r>
          </w:p>
        </w:tc>
      </w:tr>
      <w:tr>
        <w:tc>
          <w:tcPr>
            <w:tcW w:type="dxa" w:w="2600"/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🌼 Floral / 🌌 Galaxy / ☁️ Sky / 🌙 Midnight / ☕ Coffee / 🍂 Automne / ❄️ Hiver / 🌅 Sunset / 💜 Lavande</w:t>
            </w:r>
          </w:p>
        </w:tc>
        <w:tc>
          <w:tcPr>
            <w:tcW w:type="dxa" w:w="6800"/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Univers visuels additionnels (palette, illustrations, fonds)</w:t>
            </w:r>
          </w:p>
        </w:tc>
      </w:tr>
    </w:tbl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0F766E"/>
          <w:sz w:val="26"/>
          <w:szCs w:val="26"/>
        </w:rPr>
        <w:t xml:space="preserve">7.3 Gamification légère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sz w:val="22"/>
          <w:szCs w:val="22"/>
        </w:rPr>
        <w:t xml:space="preserve">Gain de points d'expérience (XP) lors de l'organisation des documents.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sz w:val="22"/>
          <w:szCs w:val="22"/>
        </w:rPr>
        <w:t xml:space="preserve">Badges de fin de semestre et paliers (ex. « Archiviste » à 100 cours classés).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sz w:val="22"/>
          <w:szCs w:val="22"/>
        </w:rPr>
        <w:t xml:space="preserve">Barres de progression par matière (ex. pourcentage de contenu organisé).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0F766E"/>
          <w:sz w:val="26"/>
          <w:szCs w:val="26"/>
        </w:rPr>
        <w:t xml:space="preserve">7.4 Widgets et accessibilité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sz w:val="22"/>
          <w:szCs w:val="22"/>
        </w:rPr>
        <w:t xml:space="preserve">Widget Android pour accéder rapidement aux favoris ou au prochain examen.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sz w:val="22"/>
          <w:szCs w:val="22"/>
        </w:rPr>
        <w:t xml:space="preserve">Export d'une matière ou d'un semestre au format PDF.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sz w:val="22"/>
          <w:szCs w:val="22"/>
        </w:rPr>
        <w:t xml:space="preserve">Scanner de documents intégré (recadrage et amélioration automatique).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0F766E"/>
          <w:sz w:val="26"/>
          <w:szCs w:val="26"/>
        </w:rPr>
        <w:t xml:space="preserve">7.5 Partage intelligent entre étudiants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sz w:val="22"/>
          <w:szCs w:val="22"/>
        </w:rPr>
        <w:t xml:space="preserve">Partage d'un dossier via un code ou un lien, sans envoi de fichiers un par un.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sz w:val="22"/>
          <w:szCs w:val="22"/>
        </w:rPr>
        <w:t xml:space="preserve">Gestion des permissions : lecture seule ou contribution.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sz w:val="22"/>
          <w:szCs w:val="22"/>
        </w:rPr>
        <w:t xml:space="preserve">Historique des dossiers partagés, reçus et envoyés.</w:t>
      </w:r>
    </w:p>
    <w:p>
      <w:pPr>
        <w:pStyle w:val="Heading1"/>
        <w:pBdr>
          <w:bottom w:val="single" w:color="0F766E" w:sz="8" w:space="4"/>
        </w:pBdr>
        <w:spacing w:after="240" w:before="480"/>
      </w:pPr>
      <w:r>
        <w:rPr>
          <w:rFonts w:ascii="Calibri" w:cs="Calibri" w:eastAsia="Calibri" w:hAnsi="Calibri"/>
          <w:b/>
          <w:bCs/>
          <w:color w:val="1F2937"/>
          <w:sz w:val="32"/>
          <w:szCs w:val="32"/>
        </w:rPr>
        <w:t xml:space="preserve">8. Fonctionnalités — Offre Premium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200"/>
      </w:tblGrid>
      <w:tr>
        <w:trPr>
          <w:tblHeader/>
        </w:trPr>
        <w:tc>
          <w:tcPr>
            <w:tcW w:type="dxa" w:w="3200"/>
            <w:shd w:fill="0F766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Fonctionnalité</w:t>
            </w:r>
          </w:p>
        </w:tc>
        <w:tc>
          <w:tcPr>
            <w:tcW w:type="dxa" w:w="6200"/>
            <w:shd w:fill="0F766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Stockage illimité</w:t>
            </w:r>
          </w:p>
        </w:tc>
        <w:tc>
          <w:tcPr>
            <w:tcW w:type="dxa" w:w="6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Suppression du quota de stockage cloud de la version gratuite</w:t>
            </w:r>
          </w:p>
        </w:tc>
      </w:tr>
      <w:tr>
        <w:tc>
          <w:tcPr>
            <w:tcW w:type="dxa" w:w="3200"/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Verrouillage biométrique</w:t>
            </w:r>
          </w:p>
        </w:tc>
        <w:tc>
          <w:tcPr>
            <w:tcW w:type="dxa" w:w="6200"/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Protection de l'application par empreinte digitale / reconnaissance faciale</w:t>
            </w:r>
          </w:p>
        </w:tc>
      </w:tr>
      <w:tr>
        <w:tc>
          <w:tcPr>
            <w:tcW w:type="dxa" w:w="3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Sauvegardes automatiques</w:t>
            </w:r>
          </w:p>
        </w:tc>
        <w:tc>
          <w:tcPr>
            <w:tcW w:type="dxa" w:w="6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Sauvegarde programmée sans action manuelle de l'utilisateur</w:t>
            </w:r>
          </w:p>
        </w:tc>
      </w:tr>
      <w:tr>
        <w:tc>
          <w:tcPr>
            <w:tcW w:type="dxa" w:w="3200"/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Thèmes exclusifs</w:t>
            </w:r>
          </w:p>
        </w:tc>
        <w:tc>
          <w:tcPr>
            <w:tcW w:type="dxa" w:w="6200"/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Univers visuels supplémentaires réservés aux abonnés Premium</w:t>
            </w:r>
          </w:p>
        </w:tc>
      </w:tr>
      <w:tr>
        <w:tc>
          <w:tcPr>
            <w:tcW w:type="dxa" w:w="3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Partage avancé</w:t>
            </w:r>
          </w:p>
        </w:tc>
        <w:tc>
          <w:tcPr>
            <w:tcW w:type="dxa" w:w="6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Partage de dossiers avec plusieurs collaborateurs et suivi des contributions</w:t>
            </w:r>
          </w:p>
        </w:tc>
      </w:tr>
    </w:tbl>
    <w:p>
      <w:pPr>
        <w:pStyle w:val="Heading1"/>
        <w:pBdr>
          <w:bottom w:val="single" w:color="0F766E" w:sz="8" w:space="4"/>
        </w:pBdr>
        <w:spacing w:after="240" w:before="480"/>
      </w:pPr>
      <w:r>
        <w:rPr>
          <w:rFonts w:ascii="Calibri" w:cs="Calibri" w:eastAsia="Calibri" w:hAnsi="Calibri"/>
          <w:b/>
          <w:bCs/>
          <w:color w:val="1F2937"/>
          <w:sz w:val="32"/>
          <w:szCs w:val="32"/>
        </w:rPr>
        <w:t xml:space="preserve">9. Expérience utilisateur et arborescence</w:t>
      </w:r>
    </w:p>
    <w:p>
      <w:pPr>
        <w:pStyle w:val="Heading3"/>
        <w:spacing w:after="120" w:before="22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9.1 Principe d'arborescence</w:t>
      </w:r>
    </w:p>
    <w:p>
      <w:pPr>
        <w:spacing w:after="160" w:line="30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L'organisation suit une hiérarchie simple et constante : Semestre → Matière → Type de document. Exemple :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200"/>
      </w:tblGrid>
      <w:tr>
        <w:trPr>
          <w:tblHeader/>
        </w:trPr>
        <w:tc>
          <w:tcPr>
            <w:tcW w:type="dxa" w:w="3200"/>
            <w:shd w:fill="0F766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Niveau</w:t>
            </w:r>
          </w:p>
        </w:tc>
        <w:tc>
          <w:tcPr>
            <w:tcW w:type="dxa" w:w="6200"/>
            <w:shd w:fill="0F766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Exemple</w:t>
            </w:r>
          </w:p>
        </w:tc>
      </w:tr>
      <w:tr>
        <w:tc>
          <w:tcPr>
            <w:tcW w:type="dxa" w:w="3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Semestre</w:t>
            </w:r>
          </w:p>
        </w:tc>
        <w:tc>
          <w:tcPr>
            <w:tcW w:type="dxa" w:w="6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Semestre 1</w:t>
            </w:r>
          </w:p>
        </w:tc>
      </w:tr>
      <w:tr>
        <w:tc>
          <w:tcPr>
            <w:tcW w:type="dxa" w:w="3200"/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Matière</w:t>
            </w:r>
          </w:p>
        </w:tc>
        <w:tc>
          <w:tcPr>
            <w:tcW w:type="dxa" w:w="6200"/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Réseaux, Java, Mathématiques, Anglais</w:t>
            </w:r>
          </w:p>
        </w:tc>
      </w:tr>
      <w:tr>
        <w:tc>
          <w:tcPr>
            <w:tcW w:type="dxa" w:w="3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Type de document (par matière)</w:t>
            </w:r>
          </w:p>
        </w:tc>
        <w:tc>
          <w:tcPr>
            <w:tcW w:type="dxa" w:w="6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Cours, TD, TP, Examens, Photos de tableau</w:t>
            </w:r>
          </w:p>
        </w:tc>
      </w:tr>
    </w:tbl>
    <w:p>
      <w:pPr>
        <w:pStyle w:val="Heading3"/>
        <w:spacing w:after="120" w:before="22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9.2 Principes d'interface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sz w:val="22"/>
          <w:szCs w:val="22"/>
        </w:rPr>
        <w:t xml:space="preserve">Les matières sont présentées sous forme de cartes visuelles avec statistiques (nombre de documents, progression).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sz w:val="22"/>
          <w:szCs w:val="22"/>
        </w:rPr>
        <w:t xml:space="preserve">Les dossiers sont représentés comme une bibliothèque virtuelle plutôt que comme de simples icônes de dossier.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sz w:val="22"/>
          <w:szCs w:val="22"/>
        </w:rPr>
        <w:t xml:space="preserve">La recherche doit permettre des requêtes combinées (ex. « réseaux TP ») et retourner des résultats pertinents instantanément.</w:t>
      </w:r>
    </w:p>
    <w:p>
      <w:pPr>
        <w:pStyle w:val="Heading3"/>
        <w:spacing w:after="120" w:before="22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9.3 Ton et accessibilité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sz w:val="22"/>
          <w:szCs w:val="22"/>
        </w:rPr>
        <w:t xml:space="preserve">Interface en français (langue principale), avec structure de traduction prête pour l'anglais et l'arabe.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sz w:val="22"/>
          <w:szCs w:val="22"/>
        </w:rPr>
        <w:t xml:space="preserve">Contraste et taille de police adaptés à la lecture prolongée de documents.</w:t>
      </w:r>
    </w:p>
    <w:p>
      <w:pPr>
        <w:pStyle w:val="Heading1"/>
        <w:pBdr>
          <w:bottom w:val="single" w:color="0F766E" w:sz="8" w:space="4"/>
        </w:pBdr>
        <w:spacing w:after="240" w:before="480"/>
      </w:pPr>
      <w:r>
        <w:rPr>
          <w:rFonts w:ascii="Calibri" w:cs="Calibri" w:eastAsia="Calibri" w:hAnsi="Calibri"/>
          <w:b/>
          <w:bCs/>
          <w:color w:val="1F2937"/>
          <w:sz w:val="32"/>
          <w:szCs w:val="32"/>
        </w:rPr>
        <w:t xml:space="preserve">10. Architecture technique</w:t>
      </w:r>
    </w:p>
    <w:p>
      <w:pPr>
        <w:pStyle w:val="Heading3"/>
        <w:spacing w:after="120" w:before="22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10.1 Plateforme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sz w:val="22"/>
          <w:szCs w:val="22"/>
        </w:rPr>
        <w:t xml:space="preserve">Application mobile Android native ou cross-platform (à trancher en phase de cadrage technique).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sz w:val="22"/>
          <w:szCs w:val="22"/>
        </w:rPr>
        <w:t xml:space="preserve">Distribution initiale via Google Play Store.</w:t>
      </w:r>
    </w:p>
    <w:p>
      <w:pPr>
        <w:pStyle w:val="Heading3"/>
        <w:spacing w:after="120" w:before="22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10.2 Back-end et données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sz w:val="22"/>
          <w:szCs w:val="22"/>
        </w:rPr>
        <w:t xml:space="preserve">Authentification : Firebase Authentication (e-mail/mot de passe, Google Sign-In).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sz w:val="22"/>
          <w:szCs w:val="22"/>
        </w:rPr>
        <w:t xml:space="preserve">Base de données : Firebase Firestore pour les métadonnées (semestres, matières, notes, favoris).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sz w:val="22"/>
          <w:szCs w:val="22"/>
        </w:rPr>
        <w:t xml:space="preserve">Stockage fichiers : Firebase Storage pour les PDF, images et scans.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sz w:val="22"/>
          <w:szCs w:val="22"/>
        </w:rPr>
        <w:t xml:space="preserve">Notifications : Firebase Cloud Messaging pour les rappels d'examens et de devoirs (V2).</w:t>
      </w:r>
    </w:p>
    <w:p>
      <w:pPr>
        <w:pStyle w:val="Heading3"/>
        <w:spacing w:after="120" w:before="22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10.3 Modèle de données simplifié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800"/>
      </w:tblGrid>
      <w:tr>
        <w:trPr>
          <w:tblHeader/>
        </w:trPr>
        <w:tc>
          <w:tcPr>
            <w:tcW w:type="dxa" w:w="2600"/>
            <w:shd w:fill="0F766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Collection</w:t>
            </w:r>
          </w:p>
        </w:tc>
        <w:tc>
          <w:tcPr>
            <w:tcW w:type="dxa" w:w="6800"/>
            <w:shd w:fill="0F766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Champs principaux</w:t>
            </w:r>
          </w:p>
        </w:tc>
      </w:tr>
      <w:tr>
        <w:tc>
          <w:tcPr>
            <w:tcW w:type="dxa" w:w="2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users</w:t>
            </w:r>
          </w:p>
        </w:tc>
        <w:tc>
          <w:tcPr>
            <w:tcW w:type="dxa" w:w="6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id, nom, e-mail, thème actif, date de création</w:t>
            </w:r>
          </w:p>
        </w:tc>
      </w:tr>
      <w:tr>
        <w:tc>
          <w:tcPr>
            <w:tcW w:type="dxa" w:w="2600"/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semesters</w:t>
            </w:r>
          </w:p>
        </w:tc>
        <w:tc>
          <w:tcPr>
            <w:tcW w:type="dxa" w:w="6800"/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id, userId, nom, dateDebut, dateFin</w:t>
            </w:r>
          </w:p>
        </w:tc>
      </w:tr>
      <w:tr>
        <w:tc>
          <w:tcPr>
            <w:tcW w:type="dxa" w:w="2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subjects</w:t>
            </w:r>
          </w:p>
        </w:tc>
        <w:tc>
          <w:tcPr>
            <w:tcW w:type="dxa" w:w="6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id, semesterId, nom, couleur, icône</w:t>
            </w:r>
          </w:p>
        </w:tc>
      </w:tr>
      <w:tr>
        <w:tc>
          <w:tcPr>
            <w:tcW w:type="dxa" w:w="2600"/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documents</w:t>
            </w:r>
          </w:p>
        </w:tc>
        <w:tc>
          <w:tcPr>
            <w:tcW w:type="dxa" w:w="6800"/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id, subjectId, type, nom, urlFichier, dateAjout, favori</w:t>
            </w:r>
          </w:p>
        </w:tc>
      </w:tr>
      <w:tr>
        <w:tc>
          <w:tcPr>
            <w:tcW w:type="dxa" w:w="2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notes</w:t>
            </w:r>
          </w:p>
        </w:tc>
        <w:tc>
          <w:tcPr>
            <w:tcW w:type="dxa" w:w="6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id, subjectId (optionnel), contenu, dateModification</w:t>
            </w:r>
          </w:p>
        </w:tc>
      </w:tr>
      <w:tr>
        <w:tc>
          <w:tcPr>
            <w:tcW w:type="dxa" w:w="2600"/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shares</w:t>
            </w:r>
          </w:p>
        </w:tc>
        <w:tc>
          <w:tcPr>
            <w:tcW w:type="dxa" w:w="6800"/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id, dossierId, code, permissions, dateExpiration</w:t>
            </w:r>
          </w:p>
        </w:tc>
      </w:tr>
    </w:tbl>
    <w:p>
      <w:pPr>
        <w:pStyle w:val="Heading3"/>
        <w:spacing w:after="120" w:before="22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10.4 Sécurité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sz w:val="22"/>
          <w:szCs w:val="22"/>
        </w:rPr>
        <w:t xml:space="preserve">Règles de sécurité Firestore/Storage limitant l'accès aux données au propriétaire, sauf dossiers explicitement partagés.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sz w:val="22"/>
          <w:szCs w:val="22"/>
        </w:rPr>
        <w:t xml:space="preserve">Chiffrement des données en transit (HTTPS) assuré nativement par Firebase.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sz w:val="22"/>
          <w:szCs w:val="22"/>
        </w:rPr>
        <w:t xml:space="preserve">Option de verrouillage biométrique local pour les fonctionnalités Premium.</w:t>
      </w:r>
    </w:p>
    <w:p>
      <w:pPr>
        <w:pStyle w:val="Heading1"/>
        <w:pBdr>
          <w:bottom w:val="single" w:color="0F766E" w:sz="8" w:space="4"/>
        </w:pBdr>
        <w:spacing w:after="240" w:before="480"/>
      </w:pPr>
      <w:r>
        <w:rPr>
          <w:rFonts w:ascii="Calibri" w:cs="Calibri" w:eastAsia="Calibri" w:hAnsi="Calibri"/>
          <w:b/>
          <w:bCs/>
          <w:color w:val="1F2937"/>
          <w:sz w:val="32"/>
          <w:szCs w:val="32"/>
        </w:rPr>
        <w:t xml:space="preserve">11. Exigences non fonctionnelles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800"/>
      </w:tblGrid>
      <w:tr>
        <w:trPr>
          <w:tblHeader/>
        </w:trPr>
        <w:tc>
          <w:tcPr>
            <w:tcW w:type="dxa" w:w="2600"/>
            <w:shd w:fill="0F766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Catégorie</w:t>
            </w:r>
          </w:p>
        </w:tc>
        <w:tc>
          <w:tcPr>
            <w:tcW w:type="dxa" w:w="6800"/>
            <w:shd w:fill="0F766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Exigence</w:t>
            </w:r>
          </w:p>
        </w:tc>
      </w:tr>
      <w:tr>
        <w:tc>
          <w:tcPr>
            <w:tcW w:type="dxa" w:w="2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6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Ouverture de l'application en moins de 2 secondes sur un appareil d'entrée de gamme</w:t>
            </w:r>
          </w:p>
        </w:tc>
      </w:tr>
      <w:tr>
        <w:tc>
          <w:tcPr>
            <w:tcW w:type="dxa" w:w="2600"/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Fiabilité</w:t>
            </w:r>
          </w:p>
        </w:tc>
        <w:tc>
          <w:tcPr>
            <w:tcW w:type="dxa" w:w="6800"/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Aucune perte de données lors d'une synchronisation interrompue (reprise automatique)</w:t>
            </w:r>
          </w:p>
        </w:tc>
      </w:tr>
      <w:tr>
        <w:tc>
          <w:tcPr>
            <w:tcW w:type="dxa" w:w="2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Compatibilité</w:t>
            </w:r>
          </w:p>
        </w:tc>
        <w:tc>
          <w:tcPr>
            <w:tcW w:type="dxa" w:w="6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Support Android à partir d'une version courante définie en phase de cadrage technique</w:t>
            </w:r>
          </w:p>
        </w:tc>
      </w:tr>
      <w:tr>
        <w:tc>
          <w:tcPr>
            <w:tcW w:type="dxa" w:w="2600"/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Sécurité</w:t>
            </w:r>
          </w:p>
        </w:tc>
        <w:tc>
          <w:tcPr>
            <w:tcW w:type="dxa" w:w="6800"/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Accès aux documents personnels strictement réservé au propriétaire du compte</w:t>
            </w:r>
          </w:p>
        </w:tc>
      </w:tr>
      <w:tr>
        <w:tc>
          <w:tcPr>
            <w:tcW w:type="dxa" w:w="2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Évolutivité</w:t>
            </w:r>
          </w:p>
        </w:tc>
        <w:tc>
          <w:tcPr>
            <w:tcW w:type="dxa" w:w="6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Architecture permettant l'ajout des thèmes, du partage et de la gamification sans refonte</w:t>
            </w:r>
          </w:p>
        </w:tc>
      </w:tr>
      <w:tr>
        <w:tc>
          <w:tcPr>
            <w:tcW w:type="dxa" w:w="2600"/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Accessibilité</w:t>
            </w:r>
          </w:p>
        </w:tc>
        <w:tc>
          <w:tcPr>
            <w:tcW w:type="dxa" w:w="6800"/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Contrastes suffisants, tailles de police ajustables</w:t>
            </w:r>
          </w:p>
        </w:tc>
      </w:tr>
    </w:tbl>
    <w:p>
      <w:pPr>
        <w:pStyle w:val="Heading1"/>
        <w:pBdr>
          <w:bottom w:val="single" w:color="0F766E" w:sz="8" w:space="4"/>
        </w:pBdr>
        <w:spacing w:after="240" w:before="480"/>
      </w:pPr>
      <w:r>
        <w:rPr>
          <w:rFonts w:ascii="Calibri" w:cs="Calibri" w:eastAsia="Calibri" w:hAnsi="Calibri"/>
          <w:b/>
          <w:bCs/>
          <w:color w:val="1F2937"/>
          <w:sz w:val="32"/>
          <w:szCs w:val="32"/>
        </w:rPr>
        <w:t xml:space="preserve">12. Planning de développement indicatif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800"/>
        <w:gridCol w:w="2200"/>
      </w:tblGrid>
      <w:tr>
        <w:trPr>
          <w:tblHeader/>
        </w:trPr>
        <w:tc>
          <w:tcPr>
            <w:tcW w:type="dxa" w:w="2400"/>
            <w:shd w:fill="0F766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4800"/>
            <w:shd w:fill="0F766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Contenu</w:t>
            </w:r>
          </w:p>
        </w:tc>
        <w:tc>
          <w:tcPr>
            <w:tcW w:type="dxa" w:w="2200"/>
            <w:shd w:fill="0F766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Durée estimée</w:t>
            </w:r>
          </w:p>
        </w:tc>
      </w:tr>
      <w:tr>
        <w:tc>
          <w:tcPr>
            <w:tcW w:type="dxa" w:w="2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Phase 0 — Cadrage</w:t>
            </w:r>
          </w:p>
        </w:tc>
        <w:tc>
          <w:tcPr>
            <w:tcW w:type="dxa" w:w="4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Choix technique final, maquettes, arborescence de l'écran</w:t>
            </w:r>
          </w:p>
        </w:tc>
        <w:tc>
          <w:tcPr>
            <w:tcW w:type="dxa" w:w="2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3 à 5 jours</w:t>
            </w:r>
          </w:p>
        </w:tc>
      </w:tr>
      <w:tr>
        <w:tc>
          <w:tcPr>
            <w:tcW w:type="dxa" w:w="2400"/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Phase 1 — MVP</w:t>
            </w:r>
          </w:p>
        </w:tc>
        <w:tc>
          <w:tcPr>
            <w:tcW w:type="dxa" w:w="4800"/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Gestion semestres/matières, documents, notes, favoris, recherche, sauvegarde Firebase</w:t>
            </w:r>
          </w:p>
        </w:tc>
        <w:tc>
          <w:tcPr>
            <w:tcW w:type="dxa" w:w="2200"/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2 à 3 semaines</w:t>
            </w:r>
          </w:p>
        </w:tc>
      </w:tr>
      <w:tr>
        <w:tc>
          <w:tcPr>
            <w:tcW w:type="dxa" w:w="2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Phase 2 — Publication</w:t>
            </w:r>
          </w:p>
        </w:tc>
        <w:tc>
          <w:tcPr>
            <w:tcW w:type="dxa" w:w="4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Tests, corrections, préparation fiche Play Store, publication</w:t>
            </w:r>
          </w:p>
        </w:tc>
        <w:tc>
          <w:tcPr>
            <w:tcW w:type="dxa" w:w="2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3 à 5 jours</w:t>
            </w:r>
          </w:p>
        </w:tc>
      </w:tr>
      <w:tr>
        <w:tc>
          <w:tcPr>
            <w:tcW w:type="dxa" w:w="2400"/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Phase 3 — V2</w:t>
            </w:r>
          </w:p>
        </w:tc>
        <w:tc>
          <w:tcPr>
            <w:tcW w:type="dxa" w:w="4800"/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Thèmes immersifs, gamification, planning d'examens, partage intelligent</w:t>
            </w:r>
          </w:p>
        </w:tc>
        <w:tc>
          <w:tcPr>
            <w:tcW w:type="dxa" w:w="2200"/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4 à 6 semaines</w:t>
            </w:r>
          </w:p>
        </w:tc>
      </w:tr>
      <w:tr>
        <w:tc>
          <w:tcPr>
            <w:tcW w:type="dxa" w:w="2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Phase 4 — Premium</w:t>
            </w:r>
          </w:p>
        </w:tc>
        <w:tc>
          <w:tcPr>
            <w:tcW w:type="dxa" w:w="4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Stockage illimité, verrouillage biométrique, thèmes exclusifs</w:t>
            </w:r>
          </w:p>
        </w:tc>
        <w:tc>
          <w:tcPr>
            <w:tcW w:type="dxa" w:w="2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À définir selon retours utilisateurs</w:t>
            </w:r>
          </w:p>
        </w:tc>
      </w:tr>
    </w:tbl>
    <w:p>
      <w:pPr>
        <w:pStyle w:val="Heading1"/>
        <w:pBdr>
          <w:bottom w:val="single" w:color="0F766E" w:sz="8" w:space="4"/>
        </w:pBdr>
        <w:spacing w:after="240" w:before="480"/>
      </w:pPr>
      <w:r>
        <w:rPr>
          <w:rFonts w:ascii="Calibri" w:cs="Calibri" w:eastAsia="Calibri" w:hAnsi="Calibri"/>
          <w:b/>
          <w:bCs/>
          <w:color w:val="1F2937"/>
          <w:sz w:val="32"/>
          <w:szCs w:val="32"/>
        </w:rPr>
        <w:t xml:space="preserve">13. Modèle économique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sz w:val="22"/>
          <w:szCs w:val="22"/>
        </w:rPr>
        <w:t xml:space="preserve">Modèle freemium : fonctionnalités MVP et V2 de base gratuites.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sz w:val="22"/>
          <w:szCs w:val="22"/>
        </w:rPr>
        <w:t xml:space="preserve">Abonnement Premium (mensuel ou annuel) débloquant stockage illimité, thèmes exclusifs, verrouillage biométrique et sauvegardes automatiques.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sz w:val="22"/>
          <w:szCs w:val="22"/>
        </w:rPr>
        <w:t xml:space="preserve">Aucune publicité intrusive envisagée dans un premier temps, afin de préserver l'expérience utilisateur.</w:t>
      </w:r>
    </w:p>
    <w:p>
      <w:pPr>
        <w:pStyle w:val="Heading1"/>
        <w:pBdr>
          <w:bottom w:val="single" w:color="0F766E" w:sz="8" w:space="4"/>
        </w:pBdr>
        <w:spacing w:after="240" w:before="480"/>
      </w:pPr>
      <w:r>
        <w:rPr>
          <w:rFonts w:ascii="Calibri" w:cs="Calibri" w:eastAsia="Calibri" w:hAnsi="Calibri"/>
          <w:b/>
          <w:bCs/>
          <w:color w:val="1F2937"/>
          <w:sz w:val="32"/>
          <w:szCs w:val="32"/>
        </w:rPr>
        <w:t xml:space="preserve">14. Livrables attendus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rFonts w:ascii="Calibri" w:cs="Calibri" w:eastAsia="Calibri" w:hAnsi="Calibri"/>
          <w:sz w:val="22"/>
          <w:szCs w:val="22"/>
        </w:rPr>
        <w:t xml:space="preserve">Maquettes de l'interface (au minimum : tableau de bord, liste des matières, fiche matière, prise de notes, recherche).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rFonts w:ascii="Calibri" w:cs="Calibri" w:eastAsia="Calibri" w:hAnsi="Calibri"/>
          <w:sz w:val="22"/>
          <w:szCs w:val="22"/>
        </w:rPr>
        <w:t xml:space="preserve">Application Android fonctionnelle (MVP) publiée sur le Play Store.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rFonts w:ascii="Calibri" w:cs="Calibri" w:eastAsia="Calibri" w:hAnsi="Calibri"/>
          <w:sz w:val="22"/>
          <w:szCs w:val="22"/>
        </w:rPr>
        <w:t xml:space="preserve">Documentation technique de l'architecture Firebase (collections, règles de sécurité).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rFonts w:ascii="Calibri" w:cs="Calibri" w:eastAsia="Calibri" w:hAnsi="Calibri"/>
          <w:sz w:val="22"/>
          <w:szCs w:val="22"/>
        </w:rPr>
        <w:t xml:space="preserve">Fiche Play Store : nom, description, icône, captures d'écran.</w:t>
      </w:r>
    </w:p>
    <w:p>
      <w:pPr>
        <w:pStyle w:val="Heading1"/>
        <w:pBdr>
          <w:bottom w:val="single" w:color="0F766E" w:sz="8" w:space="4"/>
        </w:pBdr>
        <w:spacing w:after="240" w:before="480"/>
      </w:pPr>
      <w:r>
        <w:rPr>
          <w:rFonts w:ascii="Calibri" w:cs="Calibri" w:eastAsia="Calibri" w:hAnsi="Calibri"/>
          <w:b/>
          <w:bCs/>
          <w:color w:val="1F2937"/>
          <w:sz w:val="32"/>
          <w:szCs w:val="32"/>
        </w:rPr>
        <w:t xml:space="preserve">15. Risques et points de vigilance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3600"/>
      </w:tblGrid>
      <w:tr>
        <w:trPr>
          <w:tblHeader/>
        </w:trPr>
        <w:tc>
          <w:tcPr>
            <w:tcW w:type="dxa" w:w="2600"/>
            <w:shd w:fill="0F766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Risque</w:t>
            </w:r>
          </w:p>
        </w:tc>
        <w:tc>
          <w:tcPr>
            <w:tcW w:type="dxa" w:w="2600"/>
            <w:shd w:fill="0F766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3600"/>
            <w:shd w:fill="0F766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Mesure de mitigation</w:t>
            </w:r>
          </w:p>
        </w:tc>
      </w:tr>
      <w:tr>
        <w:tc>
          <w:tcPr>
            <w:tcW w:type="dxa" w:w="2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Périmètre du MVP trop large</w:t>
            </w:r>
          </w:p>
        </w:tc>
        <w:tc>
          <w:tcPr>
            <w:tcW w:type="dxa" w:w="2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Retard de publication</w:t>
            </w:r>
          </w:p>
        </w:tc>
        <w:tc>
          <w:tcPr>
            <w:tcW w:type="dxa" w:w="3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Limiter strictement le MVP aux fonctionnalités listées en section 6</w:t>
            </w:r>
          </w:p>
        </w:tc>
      </w:tr>
      <w:tr>
        <w:tc>
          <w:tcPr>
            <w:tcW w:type="dxa" w:w="2600"/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Coût de stockage Firebase à grande échelle</w:t>
            </w:r>
          </w:p>
        </w:tc>
        <w:tc>
          <w:tcPr>
            <w:tcW w:type="dxa" w:w="2600"/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Impact sur la rentabilité</w:t>
            </w:r>
          </w:p>
        </w:tc>
        <w:tc>
          <w:tcPr>
            <w:tcW w:type="dxa" w:w="3600"/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Plafonner le stockage gratuit, inciter à l'offre Premium</w:t>
            </w:r>
          </w:p>
        </w:tc>
      </w:tr>
      <w:tr>
        <w:tc>
          <w:tcPr>
            <w:tcW w:type="dxa" w:w="2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Complexité du partage de dossiers</w:t>
            </w:r>
          </w:p>
        </w:tc>
        <w:tc>
          <w:tcPr>
            <w:tcW w:type="dxa" w:w="2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Failles de sécurité potentielles</w:t>
            </w:r>
          </w:p>
        </w:tc>
        <w:tc>
          <w:tcPr>
            <w:tcW w:type="dxa" w:w="3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Règles de sécurité strictes et tests dédiés avant activation en V2</w:t>
            </w:r>
          </w:p>
        </w:tc>
      </w:tr>
      <w:tr>
        <w:tc>
          <w:tcPr>
            <w:tcW w:type="dxa" w:w="2600"/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Charge de développement des thèmes immersifs</w:t>
            </w:r>
          </w:p>
        </w:tc>
        <w:tc>
          <w:tcPr>
            <w:tcW w:type="dxa" w:w="2600"/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Allongement du planning V2</w:t>
            </w:r>
          </w:p>
        </w:tc>
        <w:tc>
          <w:tcPr>
            <w:tcW w:type="dxa" w:w="3600"/>
            <w:shd w:fill="F1F5F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827"/>
                <w:sz w:val="20"/>
                <w:szCs w:val="20"/>
              </w:rPr>
              <w:t xml:space="preserve">Prioriser 2 à 3 thèmes phares avant extension</w:t>
            </w:r>
          </w:p>
        </w:tc>
      </w:tr>
    </w:tbl>
    <w:p>
      <w:pPr>
        <w:pStyle w:val="Heading1"/>
        <w:pBdr>
          <w:bottom w:val="single" w:color="0F766E" w:sz="8" w:space="4"/>
        </w:pBdr>
        <w:spacing w:after="240" w:before="480"/>
      </w:pPr>
      <w:r>
        <w:rPr>
          <w:rFonts w:ascii="Calibri" w:cs="Calibri" w:eastAsia="Calibri" w:hAnsi="Calibri"/>
          <w:b/>
          <w:bCs/>
          <w:color w:val="1F2937"/>
          <w:sz w:val="32"/>
          <w:szCs w:val="32"/>
        </w:rPr>
        <w:t xml:space="preserve">16. Annexe — Identité de marque</w:t>
      </w:r>
    </w:p>
    <w:p>
      <w:pPr>
        <w:pStyle w:val="Heading3"/>
        <w:spacing w:after="120" w:before="22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16.1 Nom retenu</w:t>
      </w:r>
    </w:p>
    <w:p>
      <w:pPr>
        <w:spacing w:after="160" w:line="30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StudyNest — nom court, évocateur (l'idée d'un « nid » personnel et sécurisant pour les études), disponible et facilement mémorisable.</w:t>
      </w:r>
    </w:p>
    <w:p>
      <w:pPr>
        <w:pStyle w:val="Heading3"/>
        <w:spacing w:after="120" w:before="22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16.2 Éléments d'identité à définir en phase de design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sz w:val="22"/>
          <w:szCs w:val="22"/>
        </w:rPr>
        <w:t xml:space="preserve">Logo et icône d'application (déclinables selon le thème actif).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sz w:val="22"/>
          <w:szCs w:val="22"/>
        </w:rPr>
        <w:t xml:space="preserve">Palette de couleurs par défaut et déclinaisons par thème.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sz w:val="22"/>
          <w:szCs w:val="22"/>
        </w:rPr>
        <w:t xml:space="preserve">Ton de la fiche Play Store et des messages in-app (chaleureux, motivant, proche de l'étudiant).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7280"/>
        <w:sz w:val="16"/>
        <w:szCs w:val="16"/>
      </w:rPr>
      <w:t xml:space="preserve">Page </w:t>
    </w:r>
    <w:r>
      <w:rPr>
        <w:rFonts w:ascii="Calibri" w:cs="Calibri" w:eastAsia="Calibri" w:hAnsi="Calibri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B7280"/>
        <w:sz w:val="16"/>
        <w:szCs w:val="16"/>
      </w:rPr>
      <w:t xml:space="preserve"> / </w:t>
    </w:r>
    <w:r>
      <w:rPr>
        <w:rFonts w:ascii="Calibri" w:cs="Calibri" w:eastAsia="Calibri" w:hAnsi="Calibri"/>
        <w:color w:val="6B72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6B7280"/>
        <w:sz w:val="16"/>
        <w:szCs w:val="16"/>
      </w:rPr>
      <w:t xml:space="preserve">StudyNest — Cahier des charges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◦"/>
      <w:lvlJc w:val="left"/>
      <w:pPr>
        <w:ind w:left="7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2026-07-30T11:07:01.548Z</dcterms:created>
  <dcterms:modified xsi:type="dcterms:W3CDTF">2026-07-30T11:07:01.566Z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