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right"/>
        <w:bidi w:val="1"/>
      </w:pPr>
      <w:r>
        <w:rPr>
          <w:rFonts w:ascii="Arial" w:hAnsi="Arial" w:cs="Arial"/>
          <w:b/>
          <w:color w:val="1D4ED8"/>
          <w:sz w:val="34"/>
          <w:lang w:bidi="ar-EG" w:val="en-US"/>
        </w:rPr>
        <w:t>CONVO</w:t>
      </w:r>
    </w:p>
    <w:p>
      <w:pPr>
        <w:pStyle w:val="Title"/>
        <w:spacing w:before="920" w:after="200"/>
        <w:jc w:val="right"/>
        <w:bidi w:val="1"/>
      </w:pPr>
      <w:r>
        <w:rPr>
          <w:rFonts w:ascii="Arial" w:hAnsi="Arial" w:cs="Arial"/>
          <w:b/>
          <w:color w:val="111827"/>
          <w:sz w:val="54"/>
          <w:lang w:bidi="ar-EG" w:val="en-US"/>
        </w:rPr>
        <w:t>وثيقة متطلبات الأعمال لمنصة إدارة محادثات العملاء</w:t>
      </w:r>
    </w:p>
    <w:p>
      <w:pPr>
        <w:spacing w:after="560"/>
        <w:jc w:val="right"/>
      </w:pPr>
      <w:r>
        <w:rPr>
          <w:rFonts w:ascii="Arial" w:hAnsi="Arial" w:cs="Arial"/>
          <w:b/>
          <w:color w:val="173B6C"/>
          <w:sz w:val="32"/>
          <w:lang w:bidi="ar-EG" w:val="en-US"/>
        </w:rPr>
        <w:t>Business Requirements Document</w:t>
      </w:r>
    </w:p>
    <w:tbl>
      <w:tblPr>
        <w:tblW w:type="auto" w:w="0"/>
        <w:jc w:val="center"/>
        <w:tblLayout w:type="fixed"/>
        <w:tblLook w:firstColumn="1" w:firstRow="1" w:lastColumn="0" w:lastRow="0" w:noHBand="0" w:noVBand="1" w:val="04A0"/>
        <w:tblBorders>
          <w:top w:val="single" w:sz="6" w:color="E5E7EB"/>
          <w:start w:val="single" w:sz="6" w:color="E5E7EB"/>
          <w:bottom w:val="single" w:sz="6" w:color="E5E7EB"/>
          <w:end w:val="single" w:sz="6" w:color="E5E7EB"/>
          <w:insideH w:val="single" w:sz="6" w:color="E5E7EB"/>
          <w:insideV w:val="single" w:sz="6" w:color="E5E7EB"/>
        </w:tblBorders>
      </w:tblPr>
      <w:tblGrid>
        <w:gridCol w:w="5018"/>
        <w:gridCol w:w="5018"/>
      </w:tblGrid>
      <w:tr>
        <w:tc>
          <w:tcPr>
            <w:tcW w:type="dxa" w:w="5018"/>
            <w:tcMar>
              <w:top w:w="120" w:type="dxa"/>
              <w:start w:w="150" w:type="dxa"/>
              <w:bottom w:w="120" w:type="dxa"/>
              <w:end w:w="150" w:type="dxa"/>
            </w:tcMar>
            <w:vAlign w:val="center"/>
            <w:shd w:fill="EAF1FF"/>
          </w:tcPr>
          <w:p>
            <w:pPr>
              <w:jc w:val="right"/>
              <w:bidi w:val="1"/>
            </w:pPr>
            <w:r>
              <w:rPr>
                <w:rFonts w:ascii="Arial" w:hAnsi="Arial" w:cs="Arial"/>
                <w:b/>
                <w:color w:val="173B6C"/>
                <w:sz w:val="18"/>
                <w:lang w:bidi="ar-EG" w:val="en-US"/>
              </w:rPr>
              <w:t>العميل  Client</w:t>
            </w:r>
          </w:p>
        </w:tc>
        <w:tc>
          <w:tcPr>
            <w:tcW w:type="dxa" w:w="5018"/>
            <w:tcMar>
              <w:top w:w="120" w:type="dxa"/>
              <w:start w:w="150" w:type="dxa"/>
              <w:bottom w:w="120" w:type="dxa"/>
              <w:end w:w="150" w:type="dxa"/>
            </w:tcMar>
            <w:vAlign w:val="center"/>
            <w:shd w:fill="FFFFFF"/>
          </w:tcPr>
          <w:p>
            <w:pPr>
              <w:jc w:val="right"/>
              <w:bidi w:val="1"/>
            </w:pPr>
            <w:r>
              <w:rPr>
                <w:rFonts w:ascii="Arial" w:hAnsi="Arial" w:cs="Arial"/>
                <w:color w:val="111827"/>
                <w:sz w:val="18"/>
                <w:lang w:bidi="ar-EG" w:val="en-US"/>
              </w:rPr>
              <w:t>[اسم العميل]</w:t>
            </w:r>
          </w:p>
        </w:tc>
      </w:tr>
      <w:tr>
        <w:tc>
          <w:tcPr>
            <w:tcW w:type="dxa" w:w="5018"/>
            <w:tcMar>
              <w:top w:w="120" w:type="dxa"/>
              <w:start w:w="150" w:type="dxa"/>
              <w:bottom w:w="120" w:type="dxa"/>
              <w:end w:w="150" w:type="dxa"/>
            </w:tcMar>
            <w:vAlign w:val="center"/>
            <w:shd w:fill="EAF1FF"/>
          </w:tcPr>
          <w:p>
            <w:pPr>
              <w:jc w:val="right"/>
              <w:bidi w:val="1"/>
            </w:pPr>
            <w:r>
              <w:rPr>
                <w:rFonts w:ascii="Arial" w:hAnsi="Arial" w:cs="Arial"/>
                <w:b/>
                <w:color w:val="173B6C"/>
                <w:sz w:val="18"/>
                <w:lang w:bidi="ar-EG" w:val="en-US"/>
              </w:rPr>
              <w:t>مقدم الحل  Solution Provider</w:t>
            </w:r>
          </w:p>
        </w:tc>
        <w:tc>
          <w:tcPr>
            <w:tcW w:type="dxa" w:w="5018"/>
            <w:tcMar>
              <w:top w:w="120" w:type="dxa"/>
              <w:start w:w="150" w:type="dxa"/>
              <w:bottom w:w="120" w:type="dxa"/>
              <w:end w:w="150" w:type="dxa"/>
            </w:tcMar>
            <w:vAlign w:val="center"/>
            <w:shd w:fill="FFFFFF"/>
          </w:tcPr>
          <w:p>
            <w:pPr>
              <w:jc w:val="right"/>
              <w:bidi w:val="1"/>
            </w:pPr>
            <w:r>
              <w:rPr>
                <w:rFonts w:ascii="Arial" w:hAnsi="Arial" w:cs="Arial"/>
                <w:color w:val="111827"/>
                <w:sz w:val="18"/>
                <w:lang w:bidi="ar-EG" w:val="en-US"/>
              </w:rPr>
              <w:t>[اسم مقدم الخدمة]</w:t>
            </w:r>
          </w:p>
        </w:tc>
      </w:tr>
      <w:tr>
        <w:tc>
          <w:tcPr>
            <w:tcW w:type="dxa" w:w="5018"/>
            <w:tcMar>
              <w:top w:w="120" w:type="dxa"/>
              <w:start w:w="150" w:type="dxa"/>
              <w:bottom w:w="120" w:type="dxa"/>
              <w:end w:w="150" w:type="dxa"/>
            </w:tcMar>
            <w:vAlign w:val="center"/>
            <w:shd w:fill="EAF1FF"/>
          </w:tcPr>
          <w:p>
            <w:pPr>
              <w:jc w:val="right"/>
              <w:bidi w:val="1"/>
            </w:pPr>
            <w:r>
              <w:rPr>
                <w:rFonts w:ascii="Arial" w:hAnsi="Arial" w:cs="Arial"/>
                <w:b/>
                <w:color w:val="173B6C"/>
                <w:sz w:val="18"/>
                <w:lang w:bidi="ar-EG" w:val="en-US"/>
              </w:rPr>
              <w:t>الإصدار  Version</w:t>
            </w:r>
          </w:p>
        </w:tc>
        <w:tc>
          <w:tcPr>
            <w:tcW w:type="dxa" w:w="5018"/>
            <w:tcMar>
              <w:top w:w="120" w:type="dxa"/>
              <w:start w:w="150" w:type="dxa"/>
              <w:bottom w:w="120" w:type="dxa"/>
              <w:end w:w="150" w:type="dxa"/>
            </w:tcMar>
            <w:vAlign w:val="center"/>
            <w:shd w:fill="FFFFFF"/>
          </w:tcPr>
          <w:p>
            <w:pPr>
              <w:jc w:val="right"/>
              <w:bidi w:val="1"/>
            </w:pPr>
            <w:r>
              <w:rPr>
                <w:rFonts w:ascii="Arial" w:hAnsi="Arial" w:cs="Arial"/>
                <w:color w:val="111827"/>
                <w:sz w:val="18"/>
                <w:lang w:bidi="ar-EG" w:val="en-US"/>
              </w:rPr>
              <w:t>1.0</w:t>
            </w:r>
          </w:p>
        </w:tc>
      </w:tr>
      <w:tr>
        <w:tc>
          <w:tcPr>
            <w:tcW w:type="dxa" w:w="5018"/>
            <w:tcMar>
              <w:top w:w="120" w:type="dxa"/>
              <w:start w:w="150" w:type="dxa"/>
              <w:bottom w:w="120" w:type="dxa"/>
              <w:end w:w="150" w:type="dxa"/>
            </w:tcMar>
            <w:vAlign w:val="center"/>
            <w:shd w:fill="EAF1FF"/>
          </w:tcPr>
          <w:p>
            <w:pPr>
              <w:jc w:val="right"/>
              <w:bidi w:val="1"/>
            </w:pPr>
            <w:r>
              <w:rPr>
                <w:rFonts w:ascii="Arial" w:hAnsi="Arial" w:cs="Arial"/>
                <w:b/>
                <w:color w:val="173B6C"/>
                <w:sz w:val="18"/>
                <w:lang w:bidi="ar-EG" w:val="en-US"/>
              </w:rPr>
              <w:t>التاريخ  Date</w:t>
            </w:r>
          </w:p>
        </w:tc>
        <w:tc>
          <w:tcPr>
            <w:tcW w:type="dxa" w:w="5018"/>
            <w:tcMar>
              <w:top w:w="120" w:type="dxa"/>
              <w:start w:w="150" w:type="dxa"/>
              <w:bottom w:w="120" w:type="dxa"/>
              <w:end w:w="150" w:type="dxa"/>
            </w:tcMar>
            <w:vAlign w:val="center"/>
            <w:shd w:fill="FFFFFF"/>
          </w:tcPr>
          <w:p>
            <w:pPr>
              <w:jc w:val="right"/>
              <w:bidi w:val="1"/>
            </w:pPr>
            <w:r>
              <w:rPr>
                <w:rFonts w:ascii="Arial" w:hAnsi="Arial" w:cs="Arial"/>
                <w:color w:val="111827"/>
                <w:sz w:val="18"/>
                <w:lang w:bidi="ar-EG" w:val="en-US"/>
              </w:rPr>
              <w:t>8 September 2026</w:t>
            </w:r>
          </w:p>
        </w:tc>
      </w:tr>
      <w:tr>
        <w:tc>
          <w:tcPr>
            <w:tcW w:type="dxa" w:w="5018"/>
            <w:tcMar>
              <w:top w:w="120" w:type="dxa"/>
              <w:start w:w="150" w:type="dxa"/>
              <w:bottom w:w="120" w:type="dxa"/>
              <w:end w:w="150" w:type="dxa"/>
            </w:tcMar>
            <w:vAlign w:val="center"/>
            <w:shd w:fill="EAF1FF"/>
          </w:tcPr>
          <w:p>
            <w:pPr>
              <w:jc w:val="right"/>
              <w:bidi w:val="1"/>
            </w:pPr>
            <w:r>
              <w:rPr>
                <w:rFonts w:ascii="Arial" w:hAnsi="Arial" w:cs="Arial"/>
                <w:b/>
                <w:color w:val="173B6C"/>
                <w:sz w:val="18"/>
                <w:lang w:bidi="ar-EG" w:val="en-US"/>
              </w:rPr>
              <w:t>حالة الوثيقة  Status</w:t>
            </w:r>
          </w:p>
        </w:tc>
        <w:tc>
          <w:tcPr>
            <w:tcW w:type="dxa" w:w="5018"/>
            <w:tcMar>
              <w:top w:w="120" w:type="dxa"/>
              <w:start w:w="150" w:type="dxa"/>
              <w:bottom w:w="120" w:type="dxa"/>
              <w:end w:w="150" w:type="dxa"/>
            </w:tcMar>
            <w:vAlign w:val="center"/>
            <w:shd w:fill="FFFFFF"/>
          </w:tcPr>
          <w:p>
            <w:pPr>
              <w:jc w:val="right"/>
              <w:bidi w:val="1"/>
            </w:pPr>
            <w:r>
              <w:rPr>
                <w:rFonts w:ascii="Arial" w:hAnsi="Arial" w:cs="Arial"/>
                <w:color w:val="111827"/>
                <w:sz w:val="18"/>
                <w:lang w:bidi="ar-EG" w:val="en-US"/>
              </w:rPr>
              <w:t>للمراجعة والاتفاق  For Discussion</w:t>
            </w:r>
          </w:p>
        </w:tc>
      </w:tr>
    </w:tbl>
    <w:p>
      <w:pPr>
        <w:spacing w:before="520" w:after="0" w:line="293" w:lineRule="auto"/>
        <w:jc w:val="right"/>
        <w:bidi w:val="1"/>
      </w:pPr>
      <w:r>
        <w:rPr>
          <w:rFonts w:ascii="Arial" w:hAnsi="Arial" w:cs="Arial"/>
          <w:color w:val="5A6373"/>
          <w:sz w:val="18"/>
          <w:lang w:bidi="ar-EG" w:val="en-US"/>
        </w:rPr>
        <w:t>هذه الوثيقة تحدد النطاق التجاري والتشغيلي المقترح لشركة متوسطة تستخدم حسابًا مستقلًا داخل منصة CONVO المشتركة. وهي أساس للنقاش والاعتماد، وليست عقدًا نهائيًا قبل توقيع العرض واتفاقية الخدمة.</w:t>
      </w:r>
    </w:p>
    <w:p>
      <w:r>
        <w:br w:type="page"/>
      </w:r>
    </w:p>
    <w:p>
      <w:pPr>
        <w:pStyle w:val="Heading1"/>
        <w:spacing w:before="240" w:after="100"/>
        <w:jc w:val="right"/>
        <w:keepNext/>
        <w:bidi w:val="1"/>
      </w:pPr>
      <w:r>
        <w:rPr>
          <w:rFonts w:ascii="Arial" w:hAnsi="Arial" w:cs="Arial"/>
          <w:b/>
          <w:color w:val="111827"/>
          <w:sz w:val="30"/>
          <w:lang w:bidi="ar-EG" w:val="en-US"/>
        </w:rPr>
        <w:t>1  الملخص التنفيذي  Executive Summary</w:t>
      </w:r>
    </w:p>
    <w:p>
      <w:pPr>
        <w:spacing w:before="0" w:after="100" w:line="293" w:lineRule="auto"/>
        <w:jc w:val="right"/>
        <w:bidi w:val="1"/>
      </w:pPr>
      <w:r>
        <w:rPr>
          <w:rFonts w:ascii="Arial" w:hAnsi="Arial" w:cs="Arial"/>
          <w:color w:val="111827"/>
          <w:sz w:val="20"/>
          <w:lang w:bidi="ar-EG" w:val="en-US"/>
        </w:rPr>
        <w:t>نقترح تفعيل مساحة شركة مستقلة للعميل داخل منصة CONVO متعددة الشركات (Multi Tenant SaaS). يحصل العميل على بيانات ومستخدمين وقنوات وصلاحيات معزولة عن بقية الشركات، مع واجهة موحدة لإدارة رسائل WhatsApp وFacebook Messenger وInstagram Direct من مكان واحد.</w:t>
      </w:r>
    </w:p>
    <w:p>
      <w:pPr>
        <w:spacing w:before="0" w:after="100" w:line="293" w:lineRule="auto"/>
        <w:jc w:val="right"/>
        <w:bidi w:val="1"/>
      </w:pPr>
      <w:r>
        <w:rPr>
          <w:rFonts w:ascii="Arial" w:hAnsi="Arial" w:cs="Arial"/>
          <w:color w:val="111827"/>
          <w:sz w:val="20"/>
          <w:lang w:bidi="ar-EG" w:val="en-US"/>
        </w:rPr>
        <w:t>يركز الإصدار المتفق عليه على احتياجات شركة متوسطة: صندوق وارد موحد، توزيع المحادثات على الموظفين، صلاحيات أساسية، جهات اتصال، فلاتر تشغيلية، رسائل جماعية ملتزمة بسياسات القنوات، وتقارير أساسية. لا يتضمن السعر تطوير منصة مخصصة بالكامل أو خصائص Enterprise.</w:t>
      </w:r>
    </w:p>
    <w:p>
      <w:pPr>
        <w:spacing w:before="0" w:after="100" w:line="293" w:lineRule="auto"/>
        <w:jc w:val="right"/>
        <w:bidi w:val="1"/>
      </w:pPr>
      <w:r>
        <w:rPr>
          <w:rFonts w:ascii="Arial" w:hAnsi="Arial" w:cs="Arial"/>
          <w:b/>
          <w:color w:val="111827"/>
          <w:sz w:val="20"/>
          <w:lang w:bidi="ar-EG" w:val="en-US"/>
        </w:rPr>
        <w:t>العرض التجاري المقترح:</w:t>
      </w:r>
      <w:r>
        <w:rPr>
          <w:rFonts w:ascii="Arial" w:hAnsi="Arial" w:cs="Arial"/>
          <w:color w:val="111827"/>
          <w:sz w:val="20"/>
          <w:lang w:bidi="ar-EG" w:val="en-US"/>
        </w:rPr>
        <w:t xml:space="preserve"> 700 دولار أمريكي مرة واحدة للتجهيز والتفعيل، و40 دولارًا شهريًا مقابل الاستضافة والتشغيل. لا توجد رسوم شهرية لكل مستخدم ضمن حدود الاستخدام المتفق عليها. رسوم Meta وWhatsApp وأي مزود خارجي يتحملها العميل مباشرة.</w:t>
      </w:r>
    </w:p>
    <w:p>
      <w:pPr>
        <w:pStyle w:val="Heading1"/>
        <w:spacing w:before="240" w:after="100"/>
        <w:jc w:val="right"/>
        <w:keepNext/>
        <w:bidi w:val="1"/>
      </w:pPr>
      <w:r>
        <w:rPr>
          <w:rFonts w:ascii="Arial" w:hAnsi="Arial" w:cs="Arial"/>
          <w:b/>
          <w:color w:val="111827"/>
          <w:sz w:val="30"/>
          <w:lang w:bidi="ar-EG" w:val="en-US"/>
        </w:rPr>
        <w:t>2  أهداف العمل  Business Objectives</w:t>
      </w:r>
    </w:p>
    <w:p>
      <w:pPr>
        <w:spacing w:after="60" w:line="288" w:lineRule="auto"/>
        <w:ind w:left="0" w:right="255" w:hanging="159"/>
        <w:jc w:val="right"/>
        <w:bidi w:val="1"/>
      </w:pPr>
      <w:r>
        <w:rPr>
          <w:rFonts w:ascii="Arial" w:hAnsi="Arial" w:cs="Arial"/>
          <w:color w:val="111827"/>
          <w:sz w:val="20"/>
          <w:lang w:bidi="ar-EG" w:val="en-US"/>
        </w:rPr>
        <w:t>•  تجميع محادثات العملاء الواردة من القنوات المدعومة داخل Inbox واحد بدل التنقل بين تطبيقات متعددة.</w:t>
      </w:r>
    </w:p>
    <w:p>
      <w:pPr>
        <w:spacing w:after="60" w:line="288" w:lineRule="auto"/>
        <w:ind w:left="0" w:right="255" w:hanging="159"/>
        <w:jc w:val="right"/>
        <w:bidi w:val="1"/>
      </w:pPr>
      <w:r>
        <w:rPr>
          <w:rFonts w:ascii="Arial" w:hAnsi="Arial" w:cs="Arial"/>
          <w:color w:val="111827"/>
          <w:sz w:val="20"/>
          <w:lang w:bidi="ar-EG" w:val="en-US"/>
        </w:rPr>
        <w:t>•  تقليل زمن الاستجابة ومنع ضياع الرسائل عبر التعيين والمتابعة وحالات المحادثة.</w:t>
      </w:r>
    </w:p>
    <w:p>
      <w:pPr>
        <w:spacing w:after="60" w:line="288" w:lineRule="auto"/>
        <w:ind w:left="0" w:right="255" w:hanging="159"/>
        <w:jc w:val="right"/>
        <w:bidi w:val="1"/>
      </w:pPr>
      <w:r>
        <w:rPr>
          <w:rFonts w:ascii="Arial" w:hAnsi="Arial" w:cs="Arial"/>
          <w:color w:val="111827"/>
          <w:sz w:val="20"/>
          <w:lang w:bidi="ar-EG" w:val="en-US"/>
        </w:rPr>
        <w:t>•  توضيح مسؤولية كل موظف من خلال Assignee وTeam وStatus وسجل النشاط.</w:t>
      </w:r>
    </w:p>
    <w:p>
      <w:pPr>
        <w:spacing w:after="60" w:line="288" w:lineRule="auto"/>
        <w:ind w:left="0" w:right="255" w:hanging="159"/>
        <w:jc w:val="right"/>
        <w:bidi w:val="1"/>
      </w:pPr>
      <w:r>
        <w:rPr>
          <w:rFonts w:ascii="Arial" w:hAnsi="Arial" w:cs="Arial"/>
          <w:color w:val="111827"/>
          <w:sz w:val="20"/>
          <w:lang w:bidi="ar-EG" w:val="en-US"/>
        </w:rPr>
        <w:t>•  تمكين الإدارة من متابعة أحجام المحادثات والأداء الأساسي دون كشف بيانات شركة لأخرى.</w:t>
      </w:r>
    </w:p>
    <w:p>
      <w:pPr>
        <w:spacing w:after="60" w:line="288" w:lineRule="auto"/>
        <w:ind w:left="0" w:right="255" w:hanging="159"/>
        <w:jc w:val="right"/>
        <w:bidi w:val="1"/>
      </w:pPr>
      <w:r>
        <w:rPr>
          <w:rFonts w:ascii="Arial" w:hAnsi="Arial" w:cs="Arial"/>
          <w:color w:val="111827"/>
          <w:sz w:val="20"/>
          <w:lang w:bidi="ar-EG" w:val="en-US"/>
        </w:rPr>
        <w:t>•  إرسال Broadcasts بطريقة منظمة باستخدام جمهور محدد وقوالب معتمدة وحالات إرسال واضحة.</w:t>
      </w:r>
    </w:p>
    <w:p>
      <w:pPr>
        <w:spacing w:after="60" w:line="288" w:lineRule="auto"/>
        <w:ind w:left="0" w:right="255" w:hanging="159"/>
        <w:jc w:val="right"/>
        <w:bidi w:val="1"/>
      </w:pPr>
      <w:r>
        <w:rPr>
          <w:rFonts w:ascii="Arial" w:hAnsi="Arial" w:cs="Arial"/>
          <w:color w:val="111827"/>
          <w:sz w:val="20"/>
          <w:lang w:bidi="ar-EG" w:val="en-US"/>
        </w:rPr>
        <w:t>•  توفير أساس قابل للتوسع مستقبلًا بإضافة CRM أو Automation أو AI بعرض منفصل.</w:t>
      </w:r>
    </w:p>
    <w:p>
      <w:pPr>
        <w:pStyle w:val="Heading1"/>
        <w:spacing w:before="240" w:after="100"/>
        <w:jc w:val="right"/>
        <w:keepNext/>
        <w:bidi w:val="1"/>
      </w:pPr>
      <w:r>
        <w:rPr>
          <w:rFonts w:ascii="Arial" w:hAnsi="Arial" w:cs="Arial"/>
          <w:b/>
          <w:color w:val="111827"/>
          <w:sz w:val="30"/>
          <w:lang w:bidi="ar-EG" w:val="en-US"/>
        </w:rPr>
        <w:t>3  نموذج الخدمة وحدود الحساب  Service Model</w:t>
      </w:r>
    </w:p>
    <w:tbl>
      <w:tblPr>
        <w:tblW w:type="auto" w:w="0"/>
        <w:jc w:val="center"/>
        <w:tblLayout w:type="fixed"/>
        <w:tblLook w:firstColumn="1" w:firstRow="1" w:lastColumn="0" w:lastRow="0" w:noHBand="0" w:noVBand="1" w:val="04A0"/>
        <w:tblBorders>
          <w:top w:val="single" w:sz="6" w:color="D9DEE7"/>
          <w:start w:val="single" w:sz="6" w:color="D9DEE7"/>
          <w:bottom w:val="single" w:sz="6" w:color="D9DEE7"/>
          <w:end w:val="single" w:sz="6" w:color="D9DEE7"/>
          <w:insideH w:val="single" w:sz="6" w:color="D9DEE7"/>
          <w:insideV w:val="single" w:sz="6" w:color="D9DEE7"/>
        </w:tblBorders>
      </w:tblPr>
      <w:tblGrid>
        <w:gridCol w:w="5018"/>
        <w:gridCol w:w="5018"/>
      </w:tblGrid>
      <w:tr>
        <w:trPr>
          <w:tblHeader w:val="true"/>
        </w:trPr>
        <w:tc>
          <w:tcPr>
            <w:tcW w:type="dxa" w:w="2494"/>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البند  Item</w:t>
            </w:r>
          </w:p>
        </w:tc>
        <w:tc>
          <w:tcPr>
            <w:tcW w:type="dxa" w:w="6803"/>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التعريف المتفق عليه  Agreed Definition</w:t>
            </w:r>
          </w:p>
        </w:tc>
      </w:tr>
      <w:tr>
        <w:trPr>
          <w:cantSplit/>
        </w:trPr>
        <w:tc>
          <w:tcPr>
            <w:tcW w:type="dxa" w:w="249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نموذج الاستخدام</w:t>
            </w:r>
          </w:p>
        </w:tc>
        <w:tc>
          <w:tcPr>
            <w:tcW w:type="dxa" w:w="6803"/>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حساب شركة مستقل داخل منصة مشتركة تخدم شركات متعددة.</w:t>
            </w:r>
          </w:p>
        </w:tc>
      </w:tr>
      <w:tr>
        <w:trPr>
          <w:cantSplit/>
        </w:trPr>
        <w:tc>
          <w:tcPr>
            <w:tcW w:type="dxa" w:w="249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عزل البيانات</w:t>
            </w:r>
          </w:p>
        </w:tc>
        <w:tc>
          <w:tcPr>
            <w:tcW w:type="dxa" w:w="6803"/>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بيانات العميل ومحادثاته ومستخدميه وقنواته منفصلة منطقيًا ولا تظهر لأي شركة أخرى.</w:t>
            </w:r>
          </w:p>
        </w:tc>
      </w:tr>
      <w:tr>
        <w:trPr>
          <w:cantSplit/>
        </w:trPr>
        <w:tc>
          <w:tcPr>
            <w:tcW w:type="dxa" w:w="249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حجم الباقة</w:t>
            </w:r>
          </w:p>
        </w:tc>
        <w:tc>
          <w:tcPr>
            <w:tcW w:type="dxa" w:w="6803"/>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شركة متوسطة، حتى 20 مستخدمًا مسمى ضمن النطاق الأساسي.</w:t>
            </w:r>
          </w:p>
        </w:tc>
      </w:tr>
      <w:tr>
        <w:trPr>
          <w:cantSplit/>
        </w:trPr>
        <w:tc>
          <w:tcPr>
            <w:tcW w:type="dxa" w:w="249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القنوات الأساسية</w:t>
            </w:r>
          </w:p>
        </w:tc>
        <w:tc>
          <w:tcPr>
            <w:tcW w:type="dxa" w:w="6803"/>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رقم WhatsApp Business واحد، صفحة Facebook واحدة، وحساب Instagram Professional واحد، وفق موافقات Meta.</w:t>
            </w:r>
          </w:p>
        </w:tc>
      </w:tr>
      <w:tr>
        <w:trPr>
          <w:cantSplit/>
        </w:trPr>
        <w:tc>
          <w:tcPr>
            <w:tcW w:type="dxa" w:w="249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التسعير على المستخدم</w:t>
            </w:r>
          </w:p>
        </w:tc>
        <w:tc>
          <w:tcPr>
            <w:tcW w:type="dxa" w:w="6803"/>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لا توجد رسوم منفصلة لكل مستخدم ضمن الحد المتفق عليه.</w:t>
            </w:r>
          </w:p>
        </w:tc>
      </w:tr>
      <w:tr>
        <w:trPr>
          <w:cantSplit/>
        </w:trPr>
        <w:tc>
          <w:tcPr>
            <w:tcW w:type="dxa" w:w="249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الاستخدام العادل</w:t>
            </w:r>
          </w:p>
        </w:tc>
        <w:tc>
          <w:tcPr>
            <w:tcW w:type="dxa" w:w="6803"/>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الاستخدام الطبيعي لشركة متوسطة. الأحجام الكبيرة أو موارد مخصصة تحتاج مراجعة للبنية والتكلفة.</w:t>
            </w:r>
          </w:p>
        </w:tc>
      </w:tr>
      <w:tr>
        <w:trPr>
          <w:cantSplit/>
        </w:trPr>
        <w:tc>
          <w:tcPr>
            <w:tcW w:type="dxa" w:w="249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ملكية المنتج</w:t>
            </w:r>
          </w:p>
        </w:tc>
        <w:tc>
          <w:tcPr>
            <w:tcW w:type="dxa" w:w="6803"/>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مقدم الخدمة يحتفظ بملكية المنصة والمكونات القابلة لإعادة الاستخدام؛ العميل يملك بياناته وحق استخدام حسابه وفق الاتفاق.</w:t>
            </w:r>
          </w:p>
        </w:tc>
      </w:tr>
    </w:tbl>
    <w:p>
      <w:pPr>
        <w:spacing w:after="20"/>
      </w:pPr>
    </w:p>
    <w:p>
      <w:r>
        <w:br w:type="page"/>
      </w:r>
    </w:p>
    <w:p>
      <w:pPr>
        <w:pStyle w:val="Heading1"/>
        <w:spacing w:before="240" w:after="100"/>
        <w:jc w:val="right"/>
        <w:keepNext/>
        <w:bidi w:val="1"/>
      </w:pPr>
      <w:r>
        <w:rPr>
          <w:rFonts w:ascii="Arial" w:hAnsi="Arial" w:cs="Arial"/>
          <w:b/>
          <w:color w:val="111827"/>
          <w:sz w:val="30"/>
          <w:lang w:bidi="ar-EG" w:val="en-US"/>
        </w:rPr>
        <w:t>4  رحلة العميل داخل النظام  Customer Journey</w:t>
      </w:r>
    </w:p>
    <w:p>
      <w:pPr>
        <w:spacing w:after="100" w:line="288" w:lineRule="auto"/>
        <w:jc w:val="right"/>
        <w:bidi w:val="1"/>
      </w:pPr>
      <w:r>
        <w:rPr>
          <w:rFonts w:ascii="Arial" w:hAnsi="Arial" w:cs="Arial"/>
          <w:b/>
          <w:color w:val="173B6C"/>
          <w:sz w:val="20"/>
          <w:lang w:bidi="ar-EG" w:val="en-US"/>
        </w:rPr>
        <w:t xml:space="preserve">1. تجهيز الشركة  Company Setup: </w:t>
      </w:r>
      <w:r>
        <w:rPr>
          <w:rFonts w:ascii="Arial" w:hAnsi="Arial" w:cs="Arial"/>
          <w:color w:val="111827"/>
          <w:sz w:val="20"/>
          <w:lang w:bidi="ar-EG" w:val="en-US"/>
        </w:rPr>
        <w:t>إنشاء مساحة العميل وإعداد الهوية التجارية وساعات العمل والسياسات الأساسية.</w:t>
      </w:r>
    </w:p>
    <w:p>
      <w:pPr>
        <w:spacing w:after="100" w:line="288" w:lineRule="auto"/>
        <w:jc w:val="right"/>
        <w:bidi w:val="1"/>
      </w:pPr>
      <w:r>
        <w:rPr>
          <w:rFonts w:ascii="Arial" w:hAnsi="Arial" w:cs="Arial"/>
          <w:b/>
          <w:color w:val="173B6C"/>
          <w:sz w:val="20"/>
          <w:lang w:bidi="ar-EG" w:val="en-US"/>
        </w:rPr>
        <w:t xml:space="preserve">2. إضافة الفريق  Team Onboarding: </w:t>
      </w:r>
      <w:r>
        <w:rPr>
          <w:rFonts w:ascii="Arial" w:hAnsi="Arial" w:cs="Arial"/>
          <w:color w:val="111827"/>
          <w:sz w:val="20"/>
          <w:lang w:bidi="ar-EG" w:val="en-US"/>
        </w:rPr>
        <w:t>دعوة المستخدمين وتحديد أدوار Owner وAdmin وSupervisor وAgent وربط الموظفين بالفرق والقنوات.</w:t>
      </w:r>
    </w:p>
    <w:p>
      <w:pPr>
        <w:spacing w:after="100" w:line="288" w:lineRule="auto"/>
        <w:jc w:val="right"/>
        <w:bidi w:val="1"/>
      </w:pPr>
      <w:r>
        <w:rPr>
          <w:rFonts w:ascii="Arial" w:hAnsi="Arial" w:cs="Arial"/>
          <w:b/>
          <w:color w:val="173B6C"/>
          <w:sz w:val="20"/>
          <w:lang w:bidi="ar-EG" w:val="en-US"/>
        </w:rPr>
        <w:t xml:space="preserve">3. ربط القنوات  Channel Connection: </w:t>
      </w:r>
      <w:r>
        <w:rPr>
          <w:rFonts w:ascii="Arial" w:hAnsi="Arial" w:cs="Arial"/>
          <w:color w:val="111827"/>
          <w:sz w:val="20"/>
          <w:lang w:bidi="ar-EG" w:val="en-US"/>
        </w:rPr>
        <w:t>ربط WhatsApp Business وFacebook وInstagram بعد توفير حسابات Meta والموافقات المطلوبة، ثم اختبار الاستقبال والإرسال.</w:t>
      </w:r>
    </w:p>
    <w:p>
      <w:pPr>
        <w:spacing w:after="100" w:line="288" w:lineRule="auto"/>
        <w:jc w:val="right"/>
        <w:bidi w:val="1"/>
      </w:pPr>
      <w:r>
        <w:rPr>
          <w:rFonts w:ascii="Arial" w:hAnsi="Arial" w:cs="Arial"/>
          <w:b/>
          <w:color w:val="173B6C"/>
          <w:sz w:val="20"/>
          <w:lang w:bidi="ar-EG" w:val="en-US"/>
        </w:rPr>
        <w:t xml:space="preserve">4. استقبال المحادثات  Receive: </w:t>
      </w:r>
      <w:r>
        <w:rPr>
          <w:rFonts w:ascii="Arial" w:hAnsi="Arial" w:cs="Arial"/>
          <w:color w:val="111827"/>
          <w:sz w:val="20"/>
          <w:lang w:bidi="ar-EG" w:val="en-US"/>
        </w:rPr>
        <w:t>أي رسالة عميل مؤهلة تظهر داخل Inbox الشركة مع القناة والوقت والحالة ومؤشر القراءة.</w:t>
      </w:r>
    </w:p>
    <w:p>
      <w:pPr>
        <w:spacing w:after="100" w:line="288" w:lineRule="auto"/>
        <w:jc w:val="right"/>
        <w:bidi w:val="1"/>
      </w:pPr>
      <w:r>
        <w:rPr>
          <w:rFonts w:ascii="Arial" w:hAnsi="Arial" w:cs="Arial"/>
          <w:b/>
          <w:color w:val="173B6C"/>
          <w:sz w:val="20"/>
          <w:lang w:bidi="ar-EG" w:val="en-US"/>
        </w:rPr>
        <w:t xml:space="preserve">5. الفرز والتعيين  Triage and Assignment: </w:t>
      </w:r>
      <w:r>
        <w:rPr>
          <w:rFonts w:ascii="Arial" w:hAnsi="Arial" w:cs="Arial"/>
          <w:color w:val="111827"/>
          <w:sz w:val="20"/>
          <w:lang w:bidi="ar-EG" w:val="en-US"/>
        </w:rPr>
        <w:t>يستخدم المشرف والموظفون فلاتر Unread وRead وMine وUnassigned والموظف والقناة والحالة والأولوية، ثم تُسند المحادثة يدويًا أو بقواعد أساسية.</w:t>
      </w:r>
    </w:p>
    <w:p>
      <w:pPr>
        <w:spacing w:after="100" w:line="288" w:lineRule="auto"/>
        <w:jc w:val="right"/>
        <w:bidi w:val="1"/>
      </w:pPr>
      <w:r>
        <w:rPr>
          <w:rFonts w:ascii="Arial" w:hAnsi="Arial" w:cs="Arial"/>
          <w:b/>
          <w:color w:val="173B6C"/>
          <w:sz w:val="20"/>
          <w:lang w:bidi="ar-EG" w:val="en-US"/>
        </w:rPr>
        <w:t xml:space="preserve">6. خدمة العميل  Respond: </w:t>
      </w:r>
      <w:r>
        <w:rPr>
          <w:rFonts w:ascii="Arial" w:hAnsi="Arial" w:cs="Arial"/>
          <w:color w:val="111827"/>
          <w:sz w:val="20"/>
          <w:lang w:bidi="ar-EG" w:val="en-US"/>
        </w:rPr>
        <w:t>يفتح الموظف سجل المحادثة ويرسل ردًا أو مرفقًا، ويستخدم الردود الجاهزة، ويضيف Private Note داخلية لا تصل إلى العميل.</w:t>
      </w:r>
    </w:p>
    <w:p>
      <w:pPr>
        <w:spacing w:after="100" w:line="288" w:lineRule="auto"/>
        <w:jc w:val="right"/>
        <w:bidi w:val="1"/>
      </w:pPr>
      <w:r>
        <w:rPr>
          <w:rFonts w:ascii="Arial" w:hAnsi="Arial" w:cs="Arial"/>
          <w:b/>
          <w:color w:val="173B6C"/>
          <w:sz w:val="20"/>
          <w:lang w:bidi="ar-EG" w:val="en-US"/>
        </w:rPr>
        <w:t xml:space="preserve">7. المتابعة والإغلاق  Follow Up: </w:t>
      </w:r>
      <w:r>
        <w:rPr>
          <w:rFonts w:ascii="Arial" w:hAnsi="Arial" w:cs="Arial"/>
          <w:color w:val="111827"/>
          <w:sz w:val="20"/>
          <w:lang w:bidi="ar-EG" w:val="en-US"/>
        </w:rPr>
        <w:t>تتغير الحالة بين Open وPending وSnoozed وResolved مع حفظ الموظف المسؤول وسجل التغييرات.</w:t>
      </w:r>
    </w:p>
    <w:p>
      <w:pPr>
        <w:spacing w:after="100" w:line="288" w:lineRule="auto"/>
        <w:jc w:val="right"/>
        <w:bidi w:val="1"/>
      </w:pPr>
      <w:r>
        <w:rPr>
          <w:rFonts w:ascii="Arial" w:hAnsi="Arial" w:cs="Arial"/>
          <w:b/>
          <w:color w:val="173B6C"/>
          <w:sz w:val="20"/>
          <w:lang w:bidi="ar-EG" w:val="en-US"/>
        </w:rPr>
        <w:t xml:space="preserve">8. إدارة العميل  Customer Profile: </w:t>
      </w:r>
      <w:r>
        <w:rPr>
          <w:rFonts w:ascii="Arial" w:hAnsi="Arial" w:cs="Arial"/>
          <w:color w:val="111827"/>
          <w:sz w:val="20"/>
          <w:lang w:bidi="ar-EG" w:val="en-US"/>
        </w:rPr>
        <w:t>عرض بيانات التواصل والتصنيفات والملاحظات وسجل المحادثات مع إمكانية البحث والتحديث وفق الصلاحية.</w:t>
      </w:r>
    </w:p>
    <w:p>
      <w:pPr>
        <w:spacing w:after="100" w:line="288" w:lineRule="auto"/>
        <w:jc w:val="right"/>
        <w:bidi w:val="1"/>
      </w:pPr>
      <w:r>
        <w:rPr>
          <w:rFonts w:ascii="Arial" w:hAnsi="Arial" w:cs="Arial"/>
          <w:b/>
          <w:color w:val="173B6C"/>
          <w:sz w:val="20"/>
          <w:lang w:bidi="ar-EG" w:val="en-US"/>
        </w:rPr>
        <w:t xml:space="preserve">9. الحملات  Broadcasts: </w:t>
      </w:r>
      <w:r>
        <w:rPr>
          <w:rFonts w:ascii="Arial" w:hAnsi="Arial" w:cs="Arial"/>
          <w:color w:val="111827"/>
          <w:sz w:val="20"/>
          <w:lang w:bidi="ar-EG" w:val="en-US"/>
        </w:rPr>
        <w:t>اختيار جمهور موافق عليه، اختيار قالب معتمد، مراجعة العدد، الجدولة، ثم متابعة Accepted وDelivered وRead وFailed عندما توفر القناة هذه الحالات.</w:t>
      </w:r>
    </w:p>
    <w:p>
      <w:pPr>
        <w:spacing w:after="100" w:line="288" w:lineRule="auto"/>
        <w:jc w:val="right"/>
        <w:bidi w:val="1"/>
      </w:pPr>
      <w:r>
        <w:rPr>
          <w:rFonts w:ascii="Arial" w:hAnsi="Arial" w:cs="Arial"/>
          <w:b/>
          <w:color w:val="173B6C"/>
          <w:sz w:val="20"/>
          <w:lang w:bidi="ar-EG" w:val="en-US"/>
        </w:rPr>
        <w:t xml:space="preserve">10. القياس  Reporting: </w:t>
      </w:r>
      <w:r>
        <w:rPr>
          <w:rFonts w:ascii="Arial" w:hAnsi="Arial" w:cs="Arial"/>
          <w:color w:val="111827"/>
          <w:sz w:val="20"/>
          <w:lang w:bidi="ar-EG" w:val="en-US"/>
        </w:rPr>
        <w:t>تراجع الإدارة مؤشرات حجم المحادثات وزمن الاستجابة والتوزيع على الموظفين وحالة الحملات ضمن بيانات الشركة فقط.</w:t>
      </w:r>
    </w:p>
    <w:p>
      <w:pPr>
        <w:pStyle w:val="Heading1"/>
        <w:spacing w:before="240" w:after="100"/>
        <w:jc w:val="right"/>
        <w:keepNext/>
        <w:bidi w:val="1"/>
      </w:pPr>
      <w:r>
        <w:rPr>
          <w:rFonts w:ascii="Arial" w:hAnsi="Arial" w:cs="Arial"/>
          <w:b/>
          <w:color w:val="111827"/>
          <w:sz w:val="30"/>
          <w:lang w:bidi="ar-EG" w:val="en-US"/>
        </w:rPr>
        <w:t>5  المستخدمون والصلاحيات  Users and Roles</w:t>
      </w:r>
    </w:p>
    <w:tbl>
      <w:tblPr>
        <w:tblW w:type="auto" w:w="0"/>
        <w:jc w:val="center"/>
        <w:tblLayout w:type="fixed"/>
        <w:tblLook w:firstColumn="1" w:firstRow="1" w:lastColumn="0" w:lastRow="0" w:noHBand="0" w:noVBand="1" w:val="04A0"/>
        <w:tblBorders>
          <w:top w:val="single" w:sz="6" w:color="D9DEE7"/>
          <w:start w:val="single" w:sz="6" w:color="D9DEE7"/>
          <w:bottom w:val="single" w:sz="6" w:color="D9DEE7"/>
          <w:end w:val="single" w:sz="6" w:color="D9DEE7"/>
          <w:insideH w:val="single" w:sz="6" w:color="D9DEE7"/>
          <w:insideV w:val="single" w:sz="6" w:color="D9DEE7"/>
        </w:tblBorders>
      </w:tblPr>
      <w:tblGrid>
        <w:gridCol w:w="5018"/>
        <w:gridCol w:w="5018"/>
      </w:tblGrid>
      <w:tr>
        <w:trPr>
          <w:tblHeader w:val="true"/>
        </w:trPr>
        <w:tc>
          <w:tcPr>
            <w:tcW w:type="dxa" w:w="2381"/>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الدور  Role</w:t>
            </w:r>
          </w:p>
        </w:tc>
        <w:tc>
          <w:tcPr>
            <w:tcW w:type="dxa" w:w="6917"/>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المسؤوليات الأساسية  Main Capabilities</w:t>
            </w:r>
          </w:p>
        </w:tc>
      </w:tr>
      <w:tr>
        <w:trPr>
          <w:cantSplit/>
        </w:trPr>
        <w:tc>
          <w:tcPr>
            <w:tcW w:type="dxa" w:w="2381"/>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Owner</w:t>
            </w:r>
          </w:p>
        </w:tc>
        <w:tc>
          <w:tcPr>
            <w:tcW w:type="dxa" w:w="6917"/>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إدارة الشركة والقنوات والمستخدمين والسياسات، والاطلاع على جميع البيانات داخل حساب الشركة.</w:t>
            </w:r>
          </w:p>
        </w:tc>
      </w:tr>
      <w:tr>
        <w:trPr>
          <w:cantSplit/>
        </w:trPr>
        <w:tc>
          <w:tcPr>
            <w:tcW w:type="dxa" w:w="2381"/>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Admin</w:t>
            </w:r>
          </w:p>
        </w:tc>
        <w:tc>
          <w:tcPr>
            <w:tcW w:type="dxa" w:w="6917"/>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إدارة التشغيل اليومي والمستخدمين والفرق والقنوات، باستثناء إجراءات الملكية الحساسة.</w:t>
            </w:r>
          </w:p>
        </w:tc>
      </w:tr>
      <w:tr>
        <w:trPr>
          <w:cantSplit/>
        </w:trPr>
        <w:tc>
          <w:tcPr>
            <w:tcW w:type="dxa" w:w="2381"/>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Supervisor</w:t>
            </w:r>
          </w:p>
        </w:tc>
        <w:tc>
          <w:tcPr>
            <w:tcW w:type="dxa" w:w="6917"/>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متابعة الـQueues، إعادة التعيين، متابعة الفريق والتقارير الأساسية.</w:t>
            </w:r>
          </w:p>
        </w:tc>
      </w:tr>
      <w:tr>
        <w:trPr>
          <w:cantSplit/>
        </w:trPr>
        <w:tc>
          <w:tcPr>
            <w:tcW w:type="dxa" w:w="2381"/>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Agent</w:t>
            </w:r>
          </w:p>
        </w:tc>
        <w:tc>
          <w:tcPr>
            <w:tcW w:type="dxa" w:w="6917"/>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التعامل مع المحادثات المسندة أو المتاحة، الرد، الملاحظات الداخلية، والغلق والمتابعة.</w:t>
            </w:r>
          </w:p>
        </w:tc>
      </w:tr>
      <w:tr>
        <w:trPr>
          <w:cantSplit/>
        </w:trPr>
        <w:tc>
          <w:tcPr>
            <w:tcW w:type="dxa" w:w="2381"/>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Read Only  اختياري</w:t>
            </w:r>
          </w:p>
        </w:tc>
        <w:tc>
          <w:tcPr>
            <w:tcW w:type="dxa" w:w="6917"/>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مشاهدة التقارير أو بيانات محددة دون تعديل، إذا تم تفعيله ضمن الحساب.</w:t>
            </w:r>
          </w:p>
        </w:tc>
      </w:tr>
    </w:tbl>
    <w:p>
      <w:pPr>
        <w:spacing w:after="20"/>
      </w:pPr>
    </w:p>
    <w:p>
      <w:pPr>
        <w:spacing w:before="0" w:after="100" w:line="293" w:lineRule="auto"/>
        <w:jc w:val="right"/>
        <w:bidi w:val="1"/>
      </w:pPr>
      <w:r>
        <w:rPr>
          <w:rFonts w:ascii="Arial" w:hAnsi="Arial" w:cs="Arial"/>
          <w:color w:val="5A6373"/>
          <w:sz w:val="18"/>
          <w:lang w:bidi="ar-EG" w:val="en-US"/>
        </w:rPr>
        <w:t>يتم تطبيق الصلاحيات من الخادم، وليس بإخفاء الأزرار فقط. كل مستخدم يرى الشركات والفرق والمحادثات المسموح بها لحسابه.</w:t>
      </w:r>
    </w:p>
    <w:p>
      <w:r>
        <w:br w:type="page"/>
      </w:r>
    </w:p>
    <w:p>
      <w:pPr>
        <w:pStyle w:val="Heading1"/>
        <w:spacing w:before="240" w:after="100"/>
        <w:jc w:val="right"/>
        <w:keepNext/>
        <w:bidi w:val="1"/>
      </w:pPr>
      <w:r>
        <w:rPr>
          <w:rFonts w:ascii="Arial" w:hAnsi="Arial" w:cs="Arial"/>
          <w:b/>
          <w:color w:val="111827"/>
          <w:sz w:val="30"/>
          <w:lang w:bidi="ar-EG" w:val="en-US"/>
        </w:rPr>
        <w:t>6  نطاق الخصائص الأساسية  Core Feature Scope</w:t>
      </w:r>
    </w:p>
    <w:tbl>
      <w:tblPr>
        <w:tblW w:type="auto" w:w="0"/>
        <w:jc w:val="center"/>
        <w:tblLayout w:type="fixed"/>
        <w:tblLook w:firstColumn="1" w:firstRow="1" w:lastColumn="0" w:lastRow="0" w:noHBand="0" w:noVBand="1" w:val="04A0"/>
        <w:tblBorders>
          <w:top w:val="single" w:sz="6" w:color="D9DEE7"/>
          <w:start w:val="single" w:sz="6" w:color="D9DEE7"/>
          <w:bottom w:val="single" w:sz="6" w:color="D9DEE7"/>
          <w:end w:val="single" w:sz="6" w:color="D9DEE7"/>
          <w:insideH w:val="single" w:sz="6" w:color="D9DEE7"/>
          <w:insideV w:val="single" w:sz="6" w:color="D9DEE7"/>
        </w:tblBorders>
      </w:tblPr>
      <w:tblGrid>
        <w:gridCol w:w="3345"/>
        <w:gridCol w:w="3345"/>
        <w:gridCol w:w="3345"/>
      </w:tblGrid>
      <w:tr>
        <w:trPr>
          <w:tblHeader w:val="true"/>
        </w:trPr>
        <w:tc>
          <w:tcPr>
            <w:tcW w:type="dxa" w:w="1984"/>
            <w:shd w:fill="173B6C"/>
            <w:tcMar>
              <w:top w:w="115" w:type="dxa"/>
              <w:start w:w="120" w:type="dxa"/>
              <w:bottom w:w="115" w:type="dxa"/>
              <w:end w:w="120" w:type="dxa"/>
            </w:tcMar>
            <w:vAlign w:val="center"/>
          </w:tcPr>
          <w:p>
            <w:pPr>
              <w:spacing w:after="0"/>
              <w:jc w:val="center"/>
              <w:bidi w:val="1"/>
            </w:pPr>
            <w:r>
              <w:rPr>
                <w:rFonts w:ascii="Arial" w:hAnsi="Arial" w:cs="Arial"/>
                <w:b/>
                <w:color w:val="FFFFFF"/>
                <w:sz w:val="16"/>
                <w:lang w:bidi="ar-EG" w:val="en-US"/>
              </w:rPr>
              <w:t>الوحدة  Module</w:t>
            </w:r>
          </w:p>
        </w:tc>
        <w:tc>
          <w:tcPr>
            <w:tcW w:type="dxa" w:w="5896"/>
            <w:shd w:fill="173B6C"/>
            <w:tcMar>
              <w:top w:w="115" w:type="dxa"/>
              <w:start w:w="120" w:type="dxa"/>
              <w:bottom w:w="115" w:type="dxa"/>
              <w:end w:w="120" w:type="dxa"/>
            </w:tcMar>
            <w:vAlign w:val="center"/>
          </w:tcPr>
          <w:p>
            <w:pPr>
              <w:spacing w:after="0"/>
              <w:jc w:val="center"/>
              <w:bidi w:val="1"/>
            </w:pPr>
            <w:r>
              <w:rPr>
                <w:rFonts w:ascii="Arial" w:hAnsi="Arial" w:cs="Arial"/>
                <w:b/>
                <w:color w:val="FFFFFF"/>
                <w:sz w:val="16"/>
                <w:lang w:bidi="ar-EG" w:val="en-US"/>
              </w:rPr>
              <w:t>ما سيتم توفيره  Deliverable</w:t>
            </w:r>
          </w:p>
        </w:tc>
        <w:tc>
          <w:tcPr>
            <w:tcW w:type="dxa" w:w="1474"/>
            <w:shd w:fill="173B6C"/>
            <w:tcMar>
              <w:top w:w="115" w:type="dxa"/>
              <w:start w:w="120" w:type="dxa"/>
              <w:bottom w:w="115" w:type="dxa"/>
              <w:end w:w="120" w:type="dxa"/>
            </w:tcMar>
            <w:vAlign w:val="center"/>
          </w:tcPr>
          <w:p>
            <w:pPr>
              <w:spacing w:after="0"/>
              <w:jc w:val="center"/>
              <w:bidi w:val="1"/>
            </w:pPr>
            <w:r>
              <w:rPr>
                <w:rFonts w:ascii="Arial" w:hAnsi="Arial" w:cs="Arial"/>
                <w:b/>
                <w:color w:val="FFFFFF"/>
                <w:sz w:val="16"/>
                <w:lang w:bidi="ar-EG" w:val="en-US"/>
              </w:rPr>
              <w:t>الحالة  Status</w:t>
            </w:r>
          </w:p>
        </w:tc>
      </w:tr>
      <w:tr>
        <w:trPr>
          <w:cantSplit/>
        </w:trPr>
        <w:tc>
          <w:tcPr>
            <w:tcW w:type="dxa" w:w="198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الحساب والهوية</w:t>
            </w:r>
          </w:p>
        </w:tc>
        <w:tc>
          <w:tcPr>
            <w:tcW w:type="dxa" w:w="5896"/>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إنشاء حساب الشركة، الشعار والاسم، اللغة، المنطقة الزمنية، ساعات العمل.</w:t>
            </w:r>
          </w:p>
        </w:tc>
        <w:tc>
          <w:tcPr>
            <w:tcW w:type="dxa" w:w="147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مشمول</w:t>
            </w:r>
          </w:p>
        </w:tc>
      </w:tr>
      <w:tr>
        <w:trPr>
          <w:cantSplit/>
        </w:trPr>
        <w:tc>
          <w:tcPr>
            <w:tcW w:type="dxa" w:w="198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المستخدمون والفرق</w:t>
            </w:r>
          </w:p>
        </w:tc>
        <w:tc>
          <w:tcPr>
            <w:tcW w:type="dxa" w:w="5896"/>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دعوات المستخدمين، أدوار أساسية، فرق، تفعيل وتعطيل المستخدم.</w:t>
            </w:r>
          </w:p>
        </w:tc>
        <w:tc>
          <w:tcPr>
            <w:tcW w:type="dxa" w:w="147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مشمول</w:t>
            </w:r>
          </w:p>
        </w:tc>
      </w:tr>
      <w:tr>
        <w:trPr>
          <w:cantSplit/>
        </w:trPr>
        <w:tc>
          <w:tcPr>
            <w:tcW w:type="dxa" w:w="198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Unified Inbox</w:t>
            </w:r>
          </w:p>
        </w:tc>
        <w:tc>
          <w:tcPr>
            <w:tcW w:type="dxa" w:w="5896"/>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قائمة محادثات موحدة، عداد غير المقروء، بحث، تبديل المحادثة، تحديث الحالة.</w:t>
            </w:r>
          </w:p>
        </w:tc>
        <w:tc>
          <w:tcPr>
            <w:tcW w:type="dxa" w:w="147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مشمول</w:t>
            </w:r>
          </w:p>
        </w:tc>
      </w:tr>
      <w:tr>
        <w:trPr>
          <w:cantSplit/>
        </w:trPr>
        <w:tc>
          <w:tcPr>
            <w:tcW w:type="dxa" w:w="198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الفلاتر</w:t>
            </w:r>
          </w:p>
        </w:tc>
        <w:tc>
          <w:tcPr>
            <w:tcW w:type="dxa" w:w="5896"/>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All، Unread، Read، Mine، Unassigned، الموظف، الفريق، القناة، الحالة، الأولوية، التصنيف والتاريخ.</w:t>
            </w:r>
          </w:p>
        </w:tc>
        <w:tc>
          <w:tcPr>
            <w:tcW w:type="dxa" w:w="147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مشمول</w:t>
            </w:r>
          </w:p>
        </w:tc>
      </w:tr>
      <w:tr>
        <w:trPr>
          <w:cantSplit/>
        </w:trPr>
        <w:tc>
          <w:tcPr>
            <w:tcW w:type="dxa" w:w="198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التعيين</w:t>
            </w:r>
          </w:p>
        </w:tc>
        <w:tc>
          <w:tcPr>
            <w:tcW w:type="dxa" w:w="5896"/>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تعيين وإعادة تعيين يدوي، ملكية واضحة، وقواعد توزيع أساسية قابلة للضبط.</w:t>
            </w:r>
          </w:p>
        </w:tc>
        <w:tc>
          <w:tcPr>
            <w:tcW w:type="dxa" w:w="147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مشمول</w:t>
            </w:r>
          </w:p>
        </w:tc>
      </w:tr>
      <w:tr>
        <w:trPr>
          <w:cantSplit/>
        </w:trPr>
        <w:tc>
          <w:tcPr>
            <w:tcW w:type="dxa" w:w="198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المحادثة</w:t>
            </w:r>
          </w:p>
        </w:tc>
        <w:tc>
          <w:tcPr>
            <w:tcW w:type="dxa" w:w="5896"/>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ردود عامة، مرفقات مدعومة، Emoji، Canned Replies، Private Notes، Resolve وSnooze.</w:t>
            </w:r>
          </w:p>
        </w:tc>
        <w:tc>
          <w:tcPr>
            <w:tcW w:type="dxa" w:w="147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مشمول</w:t>
            </w:r>
          </w:p>
        </w:tc>
      </w:tr>
      <w:tr>
        <w:trPr>
          <w:cantSplit/>
        </w:trPr>
        <w:tc>
          <w:tcPr>
            <w:tcW w:type="dxa" w:w="198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جهات الاتصال</w:t>
            </w:r>
          </w:p>
        </w:tc>
        <w:tc>
          <w:tcPr>
            <w:tcW w:type="dxa" w:w="5896"/>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ملف العميل، أرقام وحسابات القنوات، Tags، حقول أساسية، تاريخ المحادثات والبحث.</w:t>
            </w:r>
          </w:p>
        </w:tc>
        <w:tc>
          <w:tcPr>
            <w:tcW w:type="dxa" w:w="147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مشمول</w:t>
            </w:r>
          </w:p>
        </w:tc>
      </w:tr>
      <w:tr>
        <w:trPr>
          <w:cantSplit/>
        </w:trPr>
        <w:tc>
          <w:tcPr>
            <w:tcW w:type="dxa" w:w="198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WhatsApp</w:t>
            </w:r>
          </w:p>
        </w:tc>
        <w:tc>
          <w:tcPr>
            <w:tcW w:type="dxa" w:w="5896"/>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ربط رقم واحد، استقبال ورد، قوالب معتمدة خارج نافذة الخدمة، حالات التسليم المتاحة.</w:t>
            </w:r>
          </w:p>
        </w:tc>
        <w:tc>
          <w:tcPr>
            <w:tcW w:type="dxa" w:w="147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مشروط بموافقة Meta</w:t>
            </w:r>
          </w:p>
        </w:tc>
      </w:tr>
      <w:tr>
        <w:trPr>
          <w:cantSplit/>
        </w:trPr>
        <w:tc>
          <w:tcPr>
            <w:tcW w:type="dxa" w:w="198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Facebook وInstagram</w:t>
            </w:r>
          </w:p>
        </w:tc>
        <w:tc>
          <w:tcPr>
            <w:tcW w:type="dxa" w:w="5896"/>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ربط أصل واحد من كل نوع، استقبال ورد وفق إمكانيات وسياسات كل قناة.</w:t>
            </w:r>
          </w:p>
        </w:tc>
        <w:tc>
          <w:tcPr>
            <w:tcW w:type="dxa" w:w="147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مشروط بموافقة Meta</w:t>
            </w:r>
          </w:p>
        </w:tc>
      </w:tr>
      <w:tr>
        <w:trPr>
          <w:cantSplit/>
        </w:trPr>
        <w:tc>
          <w:tcPr>
            <w:tcW w:type="dxa" w:w="198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Broadcasts</w:t>
            </w:r>
          </w:p>
        </w:tc>
        <w:tc>
          <w:tcPr>
            <w:tcW w:type="dxa" w:w="5896"/>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جمهور أساسي، Tags أو CSV، قالب معتمد، Preview، جدولة، إيقاف، ونتائج أساسية.</w:t>
            </w:r>
          </w:p>
        </w:tc>
        <w:tc>
          <w:tcPr>
            <w:tcW w:type="dxa" w:w="147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مشمول</w:t>
            </w:r>
          </w:p>
        </w:tc>
      </w:tr>
      <w:tr>
        <w:trPr>
          <w:cantSplit/>
        </w:trPr>
        <w:tc>
          <w:tcPr>
            <w:tcW w:type="dxa" w:w="198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التقارير</w:t>
            </w:r>
          </w:p>
        </w:tc>
        <w:tc>
          <w:tcPr>
            <w:tcW w:type="dxa" w:w="5896"/>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حجم المحادثات، Open/Resolved، متوسط الاستجابة، توزيع الموظفين، ونتائج الحملات الأساسية.</w:t>
            </w:r>
          </w:p>
        </w:tc>
        <w:tc>
          <w:tcPr>
            <w:tcW w:type="dxa" w:w="147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مشمول</w:t>
            </w:r>
          </w:p>
        </w:tc>
      </w:tr>
      <w:tr>
        <w:trPr>
          <w:cantSplit/>
        </w:trPr>
        <w:tc>
          <w:tcPr>
            <w:tcW w:type="dxa" w:w="198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سجل النشاط</w:t>
            </w:r>
          </w:p>
        </w:tc>
        <w:tc>
          <w:tcPr>
            <w:tcW w:type="dxa" w:w="5896"/>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تسجيل العمليات المهمة مثل التعيين، تغيير الحالة، تعديل الصلاحيات وتشغيل الحملة.</w:t>
            </w:r>
          </w:p>
        </w:tc>
        <w:tc>
          <w:tcPr>
            <w:tcW w:type="dxa" w:w="147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مشمول</w:t>
            </w:r>
          </w:p>
        </w:tc>
      </w:tr>
      <w:tr>
        <w:trPr>
          <w:cantSplit/>
        </w:trPr>
        <w:tc>
          <w:tcPr>
            <w:tcW w:type="dxa" w:w="198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عربي وإنجليزي</w:t>
            </w:r>
          </w:p>
        </w:tc>
        <w:tc>
          <w:tcPr>
            <w:tcW w:type="dxa" w:w="5896"/>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واجهة RTL وLTR وتصميم متجاوب للكمبيوتر والموبايل.</w:t>
            </w:r>
          </w:p>
        </w:tc>
        <w:tc>
          <w:tcPr>
            <w:tcW w:type="dxa" w:w="147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6"/>
                <w:lang w:bidi="ar-EG" w:val="en-US"/>
              </w:rPr>
              <w:t>مشمول</w:t>
            </w:r>
          </w:p>
        </w:tc>
      </w:tr>
    </w:tbl>
    <w:p>
      <w:pPr>
        <w:spacing w:after="20"/>
      </w:pPr>
    </w:p>
    <w:p>
      <w:pPr>
        <w:pStyle w:val="Heading1"/>
        <w:spacing w:before="240" w:after="100"/>
        <w:jc w:val="right"/>
        <w:keepNext/>
        <w:bidi w:val="1"/>
      </w:pPr>
      <w:r>
        <w:rPr>
          <w:rFonts w:ascii="Arial" w:hAnsi="Arial" w:cs="Arial"/>
          <w:b/>
          <w:color w:val="111827"/>
          <w:sz w:val="30"/>
          <w:lang w:bidi="ar-EG" w:val="en-US"/>
        </w:rPr>
        <w:t>7  إدارة الـInbox والفلاتر  Inbox Operations</w:t>
      </w:r>
    </w:p>
    <w:p>
      <w:pPr>
        <w:spacing w:after="60" w:line="288" w:lineRule="auto"/>
        <w:ind w:left="0" w:right="255" w:hanging="159"/>
        <w:jc w:val="right"/>
        <w:bidi w:val="1"/>
      </w:pPr>
      <w:r>
        <w:rPr>
          <w:rFonts w:ascii="Arial" w:hAnsi="Arial" w:cs="Arial"/>
          <w:color w:val="111827"/>
          <w:sz w:val="20"/>
          <w:lang w:bidi="ar-EG" w:val="en-US"/>
        </w:rPr>
        <w:t>•  عرض واضح لحالة القراءة لكل مستخدم، مع فلاتر Unread وRead مستقلة.</w:t>
      </w:r>
    </w:p>
    <w:p>
      <w:pPr>
        <w:spacing w:after="60" w:line="288" w:lineRule="auto"/>
        <w:ind w:left="0" w:right="255" w:hanging="159"/>
        <w:jc w:val="right"/>
        <w:bidi w:val="1"/>
      </w:pPr>
      <w:r>
        <w:rPr>
          <w:rFonts w:ascii="Arial" w:hAnsi="Arial" w:cs="Arial"/>
          <w:color w:val="111827"/>
          <w:sz w:val="20"/>
          <w:lang w:bidi="ar-EG" w:val="en-US"/>
        </w:rPr>
        <w:t>•  فلاتر Mine وUnassigned والتصفية حسب موظف واحد أو عدة موظفين.</w:t>
      </w:r>
    </w:p>
    <w:p>
      <w:pPr>
        <w:spacing w:after="60" w:line="288" w:lineRule="auto"/>
        <w:ind w:left="0" w:right="255" w:hanging="159"/>
        <w:jc w:val="right"/>
        <w:bidi w:val="1"/>
      </w:pPr>
      <w:r>
        <w:rPr>
          <w:rFonts w:ascii="Arial" w:hAnsi="Arial" w:cs="Arial"/>
          <w:color w:val="111827"/>
          <w:sz w:val="20"/>
          <w:lang w:bidi="ar-EG" w:val="en-US"/>
        </w:rPr>
        <w:t>•  التصفية حسب Team أو Inbox أو Channel أو Status أو Priority أو Label أو Date.</w:t>
      </w:r>
    </w:p>
    <w:p>
      <w:pPr>
        <w:spacing w:after="60" w:line="288" w:lineRule="auto"/>
        <w:ind w:left="0" w:right="255" w:hanging="159"/>
        <w:jc w:val="right"/>
        <w:bidi w:val="1"/>
      </w:pPr>
      <w:r>
        <w:rPr>
          <w:rFonts w:ascii="Arial" w:hAnsi="Arial" w:cs="Arial"/>
          <w:color w:val="111827"/>
          <w:sz w:val="20"/>
          <w:lang w:bidi="ar-EG" w:val="en-US"/>
        </w:rPr>
        <w:t>•  عرض اسم الموظف المسؤول والقناة والتوقيت وحالة SLA الأساسية على بطاقة المحادثة.</w:t>
      </w:r>
    </w:p>
    <w:p>
      <w:pPr>
        <w:spacing w:after="60" w:line="288" w:lineRule="auto"/>
        <w:ind w:left="0" w:right="255" w:hanging="159"/>
        <w:jc w:val="right"/>
        <w:bidi w:val="1"/>
      </w:pPr>
      <w:r>
        <w:rPr>
          <w:rFonts w:ascii="Arial" w:hAnsi="Arial" w:cs="Arial"/>
          <w:color w:val="111827"/>
          <w:sz w:val="20"/>
          <w:lang w:bidi="ar-EG" w:val="en-US"/>
        </w:rPr>
        <w:t>•  عدم إظهار محتوى أو بيانات حساسة لموظف غير مصرح له قبل استلام المحادثة.</w:t>
      </w:r>
    </w:p>
    <w:p>
      <w:pPr>
        <w:spacing w:after="60" w:line="288" w:lineRule="auto"/>
        <w:ind w:left="0" w:right="255" w:hanging="159"/>
        <w:jc w:val="right"/>
        <w:bidi w:val="1"/>
      </w:pPr>
      <w:r>
        <w:rPr>
          <w:rFonts w:ascii="Arial" w:hAnsi="Arial" w:cs="Arial"/>
          <w:color w:val="111827"/>
          <w:sz w:val="20"/>
          <w:lang w:bidi="ar-EG" w:val="en-US"/>
        </w:rPr>
        <w:t>•  حفظ Views متكررة مثل غير المقروء لفريق المبيعات أو محادثات موظف محدد.</w:t>
      </w:r>
    </w:p>
    <w:p>
      <w:pPr>
        <w:pStyle w:val="Heading1"/>
        <w:spacing w:before="240" w:after="100"/>
        <w:jc w:val="right"/>
        <w:keepNext/>
        <w:bidi w:val="1"/>
      </w:pPr>
      <w:r>
        <w:rPr>
          <w:rFonts w:ascii="Arial" w:hAnsi="Arial" w:cs="Arial"/>
          <w:b/>
          <w:color w:val="111827"/>
          <w:sz w:val="30"/>
          <w:lang w:bidi="ar-EG" w:val="en-US"/>
        </w:rPr>
        <w:t>8  الرسائل الجماعية  Broadcasts</w:t>
      </w:r>
    </w:p>
    <w:p>
      <w:pPr>
        <w:spacing w:before="0" w:after="100" w:line="293" w:lineRule="auto"/>
        <w:jc w:val="right"/>
        <w:bidi w:val="1"/>
      </w:pPr>
      <w:r>
        <w:rPr>
          <w:rFonts w:ascii="Arial" w:hAnsi="Arial" w:cs="Arial"/>
          <w:color w:val="111827"/>
          <w:sz w:val="20"/>
          <w:lang w:bidi="ar-EG" w:val="en-US"/>
        </w:rPr>
        <w:t>توفر الوحدة إرسال رسائل جماعية تشغيلية أو تسويقية وفق موافقة العميل وسياسات القناة. إرسال WhatsApp خارج نافذة خدمة العميل يحتاج Template معتمدًا من Meta، ولا يعني استيراد رقم أن صاحبه وافق على الرسائل.</w:t>
      </w:r>
    </w:p>
    <w:p>
      <w:pPr>
        <w:spacing w:after="60" w:line="288" w:lineRule="auto"/>
        <w:ind w:left="0" w:right="255" w:hanging="159"/>
        <w:jc w:val="right"/>
        <w:bidi w:val="1"/>
      </w:pPr>
      <w:r>
        <w:rPr>
          <w:rFonts w:ascii="Arial" w:hAnsi="Arial" w:cs="Arial"/>
          <w:color w:val="111827"/>
          <w:sz w:val="20"/>
          <w:lang w:bidi="ar-EG" w:val="en-US"/>
        </w:rPr>
        <w:t>•  إنشاء Draft واختيار القناة والجمهور والتصنيف أو ملف CSV منظم.</w:t>
      </w:r>
    </w:p>
    <w:p>
      <w:pPr>
        <w:spacing w:after="60" w:line="288" w:lineRule="auto"/>
        <w:ind w:left="0" w:right="255" w:hanging="159"/>
        <w:jc w:val="right"/>
        <w:bidi w:val="1"/>
      </w:pPr>
      <w:r>
        <w:rPr>
          <w:rFonts w:ascii="Arial" w:hAnsi="Arial" w:cs="Arial"/>
          <w:color w:val="111827"/>
          <w:sz w:val="20"/>
          <w:lang w:bidi="ar-EG" w:val="en-US"/>
        </w:rPr>
        <w:t>•  اختيار Template معتمد وربط المتغيرات ومعاينة عينة قبل الإرسال.</w:t>
      </w:r>
    </w:p>
    <w:p>
      <w:pPr>
        <w:spacing w:after="60" w:line="288" w:lineRule="auto"/>
        <w:ind w:left="0" w:right="255" w:hanging="159"/>
        <w:jc w:val="right"/>
        <w:bidi w:val="1"/>
      </w:pPr>
      <w:r>
        <w:rPr>
          <w:rFonts w:ascii="Arial" w:hAnsi="Arial" w:cs="Arial"/>
          <w:color w:val="111827"/>
          <w:sz w:val="20"/>
          <w:lang w:bidi="ar-EG" w:val="en-US"/>
        </w:rPr>
        <w:t>•  جدولة الحملة، مراجعة العدد، تشغيلها، إيقافها أو إلغاؤها حسب الحالة.</w:t>
      </w:r>
    </w:p>
    <w:p>
      <w:pPr>
        <w:spacing w:after="60" w:line="288" w:lineRule="auto"/>
        <w:ind w:left="0" w:right="255" w:hanging="159"/>
        <w:jc w:val="right"/>
        <w:bidi w:val="1"/>
      </w:pPr>
      <w:r>
        <w:rPr>
          <w:rFonts w:ascii="Arial" w:hAnsi="Arial" w:cs="Arial"/>
          <w:color w:val="111827"/>
          <w:sz w:val="20"/>
          <w:lang w:bidi="ar-EG" w:val="en-US"/>
        </w:rPr>
        <w:t>•  احترام Opt In وOpt Out وقائمة الحظر؛ الحظر يتغلب على أي بيانات قديمة.</w:t>
      </w:r>
    </w:p>
    <w:p>
      <w:pPr>
        <w:spacing w:after="60" w:line="288" w:lineRule="auto"/>
        <w:ind w:left="0" w:right="255" w:hanging="159"/>
        <w:jc w:val="right"/>
        <w:bidi w:val="1"/>
      </w:pPr>
      <w:r>
        <w:rPr>
          <w:rFonts w:ascii="Arial" w:hAnsi="Arial" w:cs="Arial"/>
          <w:color w:val="111827"/>
          <w:sz w:val="20"/>
          <w:lang w:bidi="ar-EG" w:val="en-US"/>
        </w:rPr>
        <w:t>•  عرض حالات الإرسال التي يوفرها المزود دون اعتبار Accepted مساوية لـDelivered أوRead.</w:t>
      </w:r>
    </w:p>
    <w:p>
      <w:pPr>
        <w:spacing w:after="60" w:line="288" w:lineRule="auto"/>
        <w:ind w:left="0" w:right="255" w:hanging="159"/>
        <w:jc w:val="right"/>
        <w:bidi w:val="1"/>
      </w:pPr>
      <w:r>
        <w:rPr>
          <w:rFonts w:ascii="Arial" w:hAnsi="Arial" w:cs="Arial"/>
          <w:color w:val="111827"/>
          <w:sz w:val="20"/>
          <w:lang w:bidi="ar-EG" w:val="en-US"/>
        </w:rPr>
        <w:t>•  الاحتفاظ بسجل المستلمين وسبب الفشل عندما يكون متاحًا من المزود.</w:t>
      </w:r>
    </w:p>
    <w:p>
      <w:pPr>
        <w:pStyle w:val="Heading1"/>
        <w:spacing w:before="240" w:after="100"/>
        <w:jc w:val="right"/>
        <w:keepNext/>
        <w:bidi w:val="1"/>
      </w:pPr>
      <w:r>
        <w:rPr>
          <w:rFonts w:ascii="Arial" w:hAnsi="Arial" w:cs="Arial"/>
          <w:b/>
          <w:color w:val="111827"/>
          <w:sz w:val="30"/>
          <w:lang w:bidi="ar-EG" w:val="en-US"/>
        </w:rPr>
        <w:t>9  المتطلبات غير الوظيفية  Non Functional Requirements</w:t>
      </w:r>
    </w:p>
    <w:tbl>
      <w:tblPr>
        <w:tblW w:type="auto" w:w="0"/>
        <w:jc w:val="center"/>
        <w:tblLayout w:type="fixed"/>
        <w:tblLook w:firstColumn="1" w:firstRow="1" w:lastColumn="0" w:lastRow="0" w:noHBand="0" w:noVBand="1" w:val="04A0"/>
        <w:tblBorders>
          <w:top w:val="single" w:sz="6" w:color="D9DEE7"/>
          <w:start w:val="single" w:sz="6" w:color="D9DEE7"/>
          <w:bottom w:val="single" w:sz="6" w:color="D9DEE7"/>
          <w:end w:val="single" w:sz="6" w:color="D9DEE7"/>
          <w:insideH w:val="single" w:sz="6" w:color="D9DEE7"/>
          <w:insideV w:val="single" w:sz="6" w:color="D9DEE7"/>
        </w:tblBorders>
      </w:tblPr>
      <w:tblGrid>
        <w:gridCol w:w="5018"/>
        <w:gridCol w:w="5018"/>
      </w:tblGrid>
      <w:tr>
        <w:trPr>
          <w:tblHeader w:val="true"/>
        </w:trPr>
        <w:tc>
          <w:tcPr>
            <w:tcW w:type="dxa" w:w="2154"/>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المجال  Area</w:t>
            </w:r>
          </w:p>
        </w:tc>
        <w:tc>
          <w:tcPr>
            <w:tcW w:type="dxa" w:w="7143"/>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المتطلب  Requirement</w:t>
            </w:r>
          </w:p>
        </w:tc>
      </w:tr>
      <w:tr>
        <w:trPr>
          <w:cantSplit/>
        </w:trPr>
        <w:tc>
          <w:tcPr>
            <w:tcW w:type="dxa" w:w="215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الأمان</w:t>
            </w:r>
          </w:p>
        </w:tc>
        <w:tc>
          <w:tcPr>
            <w:tcW w:type="dxa" w:w="7143"/>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اتصال HTTPS، كلمات مرور آمنة، جلسات محمية، صلاحيات على الخادم، وعدم حفظ أسرار القنوات كنص مكشوف.</w:t>
            </w:r>
          </w:p>
        </w:tc>
      </w:tr>
      <w:tr>
        <w:trPr>
          <w:cantSplit/>
        </w:trPr>
        <w:tc>
          <w:tcPr>
            <w:tcW w:type="dxa" w:w="215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عزل الشركات</w:t>
            </w:r>
          </w:p>
        </w:tc>
        <w:tc>
          <w:tcPr>
            <w:tcW w:type="dxa" w:w="7143"/>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كل سجل تشغيلي مرتبط بشركة العميل ولا يمكن لطلب من شركة أخرى الوصول إليه.</w:t>
            </w:r>
          </w:p>
        </w:tc>
      </w:tr>
      <w:tr>
        <w:trPr>
          <w:cantSplit/>
        </w:trPr>
        <w:tc>
          <w:tcPr>
            <w:tcW w:type="dxa" w:w="215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الأداء</w:t>
            </w:r>
          </w:p>
        </w:tc>
        <w:tc>
          <w:tcPr>
            <w:tcW w:type="dxa" w:w="7143"/>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واجهة تشغيل سريعة للأحجام المتفق عليها، مع Pagination وتحميل تدريجي للقوائم.</w:t>
            </w:r>
          </w:p>
        </w:tc>
      </w:tr>
      <w:tr>
        <w:trPr>
          <w:cantSplit/>
        </w:trPr>
        <w:tc>
          <w:tcPr>
            <w:tcW w:type="dxa" w:w="215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التوافر والنسخ</w:t>
            </w:r>
          </w:p>
        </w:tc>
        <w:tc>
          <w:tcPr>
            <w:tcW w:type="dxa" w:w="7143"/>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مراقبة أساسية ونسخ احتياطي حسب خطة الاستضافة المتاحة، مع توضيح حدود مزود البنية.</w:t>
            </w:r>
          </w:p>
        </w:tc>
      </w:tr>
      <w:tr>
        <w:trPr>
          <w:cantSplit/>
        </w:trPr>
        <w:tc>
          <w:tcPr>
            <w:tcW w:type="dxa" w:w="215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التدقيق</w:t>
            </w:r>
          </w:p>
        </w:tc>
        <w:tc>
          <w:tcPr>
            <w:tcW w:type="dxa" w:w="7143"/>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سجل للعمليات الإدارية والتغييرات المهمة داخل حساب الشركة.</w:t>
            </w:r>
          </w:p>
        </w:tc>
      </w:tr>
      <w:tr>
        <w:trPr>
          <w:cantSplit/>
        </w:trPr>
        <w:tc>
          <w:tcPr>
            <w:tcW w:type="dxa" w:w="215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اللغات</w:t>
            </w:r>
          </w:p>
        </w:tc>
        <w:tc>
          <w:tcPr>
            <w:tcW w:type="dxa" w:w="7143"/>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العربية RTL والإنجليزية LTR، مع دعم الأرقام والهواتف والرسائل المختلطة.</w:t>
            </w:r>
          </w:p>
        </w:tc>
      </w:tr>
      <w:tr>
        <w:trPr>
          <w:cantSplit/>
        </w:trPr>
        <w:tc>
          <w:tcPr>
            <w:tcW w:type="dxa" w:w="215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الخصوصية</w:t>
            </w:r>
          </w:p>
        </w:tc>
        <w:tc>
          <w:tcPr>
            <w:tcW w:type="dxa" w:w="7143"/>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العميل مسؤول عن أساس المعالجة والموافقات؛ النظام يطبق الصلاحيات وطلبات الحظر ضمن النطاق.</w:t>
            </w:r>
          </w:p>
        </w:tc>
      </w:tr>
      <w:tr>
        <w:trPr>
          <w:cantSplit/>
        </w:trPr>
        <w:tc>
          <w:tcPr>
            <w:tcW w:type="dxa" w:w="215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التوافق</w:t>
            </w:r>
          </w:p>
        </w:tc>
        <w:tc>
          <w:tcPr>
            <w:tcW w:type="dxa" w:w="7143"/>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دعم الإصدارات الحديثة من Chrome وEdge وSafari وتصميم متجاوب.</w:t>
            </w:r>
          </w:p>
        </w:tc>
      </w:tr>
    </w:tbl>
    <w:p>
      <w:pPr>
        <w:spacing w:after="20"/>
      </w:pPr>
    </w:p>
    <w:p>
      <w:pPr>
        <w:pStyle w:val="Heading1"/>
        <w:spacing w:before="240" w:after="100"/>
        <w:jc w:val="right"/>
        <w:keepNext/>
        <w:bidi w:val="1"/>
      </w:pPr>
      <w:r>
        <w:rPr>
          <w:rFonts w:ascii="Arial" w:hAnsi="Arial" w:cs="Arial"/>
          <w:b/>
          <w:color w:val="111827"/>
          <w:sz w:val="30"/>
          <w:lang w:bidi="ar-EG" w:val="en-US"/>
        </w:rPr>
        <w:t>10  مراحل التنفيذ  Delivery Plan</w:t>
      </w:r>
    </w:p>
    <w:tbl>
      <w:tblPr>
        <w:tblW w:type="auto" w:w="0"/>
        <w:jc w:val="center"/>
        <w:tblLayout w:type="fixed"/>
        <w:tblLook w:firstColumn="1" w:firstRow="1" w:lastColumn="0" w:lastRow="0" w:noHBand="0" w:noVBand="1" w:val="04A0"/>
        <w:tblBorders>
          <w:top w:val="single" w:sz="6" w:color="D9DEE7"/>
          <w:start w:val="single" w:sz="6" w:color="D9DEE7"/>
          <w:bottom w:val="single" w:sz="6" w:color="D9DEE7"/>
          <w:end w:val="single" w:sz="6" w:color="D9DEE7"/>
          <w:insideH w:val="single" w:sz="6" w:color="D9DEE7"/>
          <w:insideV w:val="single" w:sz="6" w:color="D9DEE7"/>
        </w:tblBorders>
      </w:tblPr>
      <w:tblGrid>
        <w:gridCol w:w="3345"/>
        <w:gridCol w:w="3345"/>
        <w:gridCol w:w="3345"/>
      </w:tblGrid>
      <w:tr>
        <w:trPr>
          <w:tblHeader w:val="true"/>
        </w:trPr>
        <w:tc>
          <w:tcPr>
            <w:tcW w:type="dxa" w:w="2721"/>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المرحلة  Phase</w:t>
            </w:r>
          </w:p>
        </w:tc>
        <w:tc>
          <w:tcPr>
            <w:tcW w:type="dxa" w:w="1814"/>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المدة التقديرية</w:t>
            </w:r>
          </w:p>
        </w:tc>
        <w:tc>
          <w:tcPr>
            <w:tcW w:type="dxa" w:w="4762"/>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النتيجة</w:t>
            </w:r>
          </w:p>
        </w:tc>
      </w:tr>
      <w:tr>
        <w:trPr>
          <w:cantSplit/>
        </w:trPr>
        <w:tc>
          <w:tcPr>
            <w:tcW w:type="dxa" w:w="2721"/>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1  اعتماد النطاق</w:t>
            </w:r>
          </w:p>
        </w:tc>
        <w:tc>
          <w:tcPr>
            <w:tcW w:type="dxa" w:w="181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3 إلى 5 أيام</w:t>
            </w:r>
          </w:p>
        </w:tc>
        <w:tc>
          <w:tcPr>
            <w:tcW w:type="dxa" w:w="4762"/>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اعتماد BRD والقنوات والمستخدمين وحالات الاستخدام والهوية.</w:t>
            </w:r>
          </w:p>
        </w:tc>
      </w:tr>
      <w:tr>
        <w:trPr>
          <w:cantSplit/>
        </w:trPr>
        <w:tc>
          <w:tcPr>
            <w:tcW w:type="dxa" w:w="2721"/>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2  إعداد الحساب والواجهة</w:t>
            </w:r>
          </w:p>
        </w:tc>
        <w:tc>
          <w:tcPr>
            <w:tcW w:type="dxa" w:w="181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1 أسبوع</w:t>
            </w:r>
          </w:p>
        </w:tc>
        <w:tc>
          <w:tcPr>
            <w:tcW w:type="dxa" w:w="4762"/>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مساحة الشركة والهوية والمستخدمون والفرق والصلاحيات الأساسية.</w:t>
            </w:r>
          </w:p>
        </w:tc>
      </w:tr>
      <w:tr>
        <w:trPr>
          <w:cantSplit/>
        </w:trPr>
        <w:tc>
          <w:tcPr>
            <w:tcW w:type="dxa" w:w="2721"/>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3  Inbox والقنوات</w:t>
            </w:r>
          </w:p>
        </w:tc>
        <w:tc>
          <w:tcPr>
            <w:tcW w:type="dxa" w:w="181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2 إلى 3 أسابيع</w:t>
            </w:r>
          </w:p>
        </w:tc>
        <w:tc>
          <w:tcPr>
            <w:tcW w:type="dxa" w:w="4762"/>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Inbox والفلاتر والتعيين وربط قنوات Meta المتاحة واختبارات الرسائل.</w:t>
            </w:r>
          </w:p>
        </w:tc>
      </w:tr>
      <w:tr>
        <w:trPr>
          <w:cantSplit/>
        </w:trPr>
        <w:tc>
          <w:tcPr>
            <w:tcW w:type="dxa" w:w="2721"/>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4  Contacts وBroadcasts</w:t>
            </w:r>
          </w:p>
        </w:tc>
        <w:tc>
          <w:tcPr>
            <w:tcW w:type="dxa" w:w="1814"/>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1 إلى 2 أسبوع</w:t>
            </w:r>
          </w:p>
        </w:tc>
        <w:tc>
          <w:tcPr>
            <w:tcW w:type="dxa" w:w="4762"/>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جهات الاتصال والتصنيفات والحملة الأساسية والتقارير.</w:t>
            </w:r>
          </w:p>
        </w:tc>
      </w:tr>
      <w:tr>
        <w:trPr>
          <w:cantSplit/>
        </w:trPr>
        <w:tc>
          <w:tcPr>
            <w:tcW w:type="dxa" w:w="2721"/>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5  UAT والإطلاق</w:t>
            </w:r>
          </w:p>
        </w:tc>
        <w:tc>
          <w:tcPr>
            <w:tcW w:type="dxa" w:w="1814"/>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1 أسبوع</w:t>
            </w:r>
          </w:p>
        </w:tc>
        <w:tc>
          <w:tcPr>
            <w:tcW w:type="dxa" w:w="4762"/>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اختبار قبول العميل، إصلاح العيوب، تدريب مختصر وإطلاق.</w:t>
            </w:r>
          </w:p>
        </w:tc>
      </w:tr>
    </w:tbl>
    <w:p>
      <w:pPr>
        <w:spacing w:after="20"/>
      </w:pPr>
    </w:p>
    <w:p>
      <w:pPr>
        <w:spacing w:before="0" w:after="100" w:line="293" w:lineRule="auto"/>
        <w:jc w:val="right"/>
        <w:bidi w:val="1"/>
      </w:pPr>
      <w:r>
        <w:rPr>
          <w:rFonts w:ascii="Arial" w:hAnsi="Arial" w:cs="Arial"/>
          <w:b/>
          <w:color w:val="111827"/>
          <w:sz w:val="20"/>
          <w:lang w:bidi="ar-EG" w:val="en-US"/>
        </w:rPr>
        <w:t>المدة الإجمالية المتوقعة:</w:t>
      </w:r>
      <w:r>
        <w:rPr>
          <w:rFonts w:ascii="Arial" w:hAnsi="Arial" w:cs="Arial"/>
          <w:color w:val="111827"/>
          <w:sz w:val="20"/>
          <w:lang w:bidi="ar-EG" w:val="en-US"/>
        </w:rPr>
        <w:t xml:space="preserve"> 5 إلى 7 أسابيع من استلام الدفعة الأولى واعتماد النطاق وتوفير حسابات Meta المطلوبة. أي تأخير في الموافقات أو بيانات العميل يمدد الجدول بنفس مدة التأخير.</w:t>
      </w:r>
    </w:p>
    <w:p>
      <w:pPr>
        <w:pStyle w:val="Heading1"/>
        <w:spacing w:before="240" w:after="100"/>
        <w:jc w:val="right"/>
        <w:keepNext/>
        <w:bidi w:val="1"/>
      </w:pPr>
      <w:r>
        <w:rPr>
          <w:rFonts w:ascii="Arial" w:hAnsi="Arial" w:cs="Arial"/>
          <w:b/>
          <w:color w:val="111827"/>
          <w:sz w:val="30"/>
          <w:lang w:bidi="ar-EG" w:val="en-US"/>
        </w:rPr>
        <w:t>11  مسؤوليات الطرفين  Responsibilities</w:t>
      </w:r>
    </w:p>
    <w:p>
      <w:pPr>
        <w:pStyle w:val="Heading2"/>
        <w:spacing w:before="160" w:after="100"/>
        <w:jc w:val="right"/>
        <w:keepNext/>
        <w:bidi w:val="1"/>
      </w:pPr>
      <w:r>
        <w:rPr>
          <w:rFonts w:ascii="Arial" w:hAnsi="Arial" w:cs="Arial"/>
          <w:b/>
          <w:color w:val="111827"/>
          <w:sz w:val="24"/>
          <w:lang w:bidi="ar-EG" w:val="en-US"/>
        </w:rPr>
        <w:t>مسؤوليات مقدم الخدمة  Solution Provider</w:t>
      </w:r>
    </w:p>
    <w:p>
      <w:pPr>
        <w:spacing w:after="60" w:line="288" w:lineRule="auto"/>
        <w:ind w:left="0" w:right="255" w:hanging="159"/>
        <w:jc w:val="right"/>
        <w:bidi w:val="1"/>
      </w:pPr>
      <w:r>
        <w:rPr>
          <w:rFonts w:ascii="Arial" w:hAnsi="Arial" w:cs="Arial"/>
          <w:color w:val="111827"/>
          <w:sz w:val="20"/>
          <w:lang w:bidi="ar-EG" w:val="en-US"/>
        </w:rPr>
        <w:t>•  إعداد حساب الشركة وعزل البيانات وإعداد المستخدمين والأدوار والفرق المتفق عليها.</w:t>
      </w:r>
    </w:p>
    <w:p>
      <w:pPr>
        <w:spacing w:after="60" w:line="288" w:lineRule="auto"/>
        <w:ind w:left="0" w:right="255" w:hanging="159"/>
        <w:jc w:val="right"/>
        <w:bidi w:val="1"/>
      </w:pPr>
      <w:r>
        <w:rPr>
          <w:rFonts w:ascii="Arial" w:hAnsi="Arial" w:cs="Arial"/>
          <w:color w:val="111827"/>
          <w:sz w:val="20"/>
          <w:lang w:bidi="ar-EG" w:val="en-US"/>
        </w:rPr>
        <w:t>•  تهيئة خصائص الـInbox والفلاتر وجهات الاتصال والـBroadcasts والتقارير الأساسية.</w:t>
      </w:r>
    </w:p>
    <w:p>
      <w:pPr>
        <w:spacing w:after="60" w:line="288" w:lineRule="auto"/>
        <w:ind w:left="0" w:right="255" w:hanging="159"/>
        <w:jc w:val="right"/>
        <w:bidi w:val="1"/>
      </w:pPr>
      <w:r>
        <w:rPr>
          <w:rFonts w:ascii="Arial" w:hAnsi="Arial" w:cs="Arial"/>
          <w:color w:val="111827"/>
          <w:sz w:val="20"/>
          <w:lang w:bidi="ar-EG" w:val="en-US"/>
        </w:rPr>
        <w:t>•  المساعدة الفنية في ربط قنوات Meta عندما يوفر العميل الأصول والصلاحيات المطلوبة.</w:t>
      </w:r>
    </w:p>
    <w:p>
      <w:pPr>
        <w:spacing w:after="60" w:line="288" w:lineRule="auto"/>
        <w:ind w:left="0" w:right="255" w:hanging="159"/>
        <w:jc w:val="right"/>
        <w:bidi w:val="1"/>
      </w:pPr>
      <w:r>
        <w:rPr>
          <w:rFonts w:ascii="Arial" w:hAnsi="Arial" w:cs="Arial"/>
          <w:color w:val="111827"/>
          <w:sz w:val="20"/>
          <w:lang w:bidi="ar-EG" w:val="en-US"/>
        </w:rPr>
        <w:t>•  تنفيذ اختبارات وظيفية، جلسة UAT، وتدريب تشغيلي واحد للفريق المسؤول.</w:t>
      </w:r>
    </w:p>
    <w:p>
      <w:pPr>
        <w:spacing w:after="60" w:line="288" w:lineRule="auto"/>
        <w:ind w:left="0" w:right="255" w:hanging="159"/>
        <w:jc w:val="right"/>
        <w:bidi w:val="1"/>
      </w:pPr>
      <w:r>
        <w:rPr>
          <w:rFonts w:ascii="Arial" w:hAnsi="Arial" w:cs="Arial"/>
          <w:color w:val="111827"/>
          <w:sz w:val="20"/>
          <w:lang w:bidi="ar-EG" w:val="en-US"/>
        </w:rPr>
        <w:t>•  إصلاح عيوب النطاق المتفق عليه لمدة 30 يومًا بعد Go Live.</w:t>
      </w:r>
    </w:p>
    <w:p>
      <w:pPr>
        <w:pStyle w:val="Heading2"/>
        <w:spacing w:before="160" w:after="100"/>
        <w:jc w:val="right"/>
        <w:keepNext/>
        <w:bidi w:val="1"/>
      </w:pPr>
      <w:r>
        <w:rPr>
          <w:rFonts w:ascii="Arial" w:hAnsi="Arial" w:cs="Arial"/>
          <w:b/>
          <w:color w:val="111827"/>
          <w:sz w:val="24"/>
          <w:lang w:bidi="ar-EG" w:val="en-US"/>
        </w:rPr>
        <w:t>مسؤوليات العميل  Client</w:t>
      </w:r>
    </w:p>
    <w:p>
      <w:pPr>
        <w:spacing w:after="60" w:line="288" w:lineRule="auto"/>
        <w:ind w:left="0" w:right="255" w:hanging="159"/>
        <w:jc w:val="right"/>
        <w:bidi w:val="1"/>
      </w:pPr>
      <w:r>
        <w:rPr>
          <w:rFonts w:ascii="Arial" w:hAnsi="Arial" w:cs="Arial"/>
          <w:color w:val="111827"/>
          <w:sz w:val="20"/>
          <w:lang w:bidi="ar-EG" w:val="en-US"/>
        </w:rPr>
        <w:t>•  توفير Meta Business Portfolio موثق، WhatsApp Business Account، رقم الهاتف، Facebook Page، Instagram Professional Account والصلاحيات اللازمة.</w:t>
      </w:r>
    </w:p>
    <w:p>
      <w:pPr>
        <w:spacing w:after="60" w:line="288" w:lineRule="auto"/>
        <w:ind w:left="0" w:right="255" w:hanging="159"/>
        <w:jc w:val="right"/>
        <w:bidi w:val="1"/>
      </w:pPr>
      <w:r>
        <w:rPr>
          <w:rFonts w:ascii="Arial" w:hAnsi="Arial" w:cs="Arial"/>
          <w:color w:val="111827"/>
          <w:sz w:val="20"/>
          <w:lang w:bidi="ar-EG" w:val="en-US"/>
        </w:rPr>
        <w:t>•  الحصول على موافقات Meta والقوالب المطلوبة وتقديم سياسة الخصوصية وأدلة Opt In للجماهير.</w:t>
      </w:r>
    </w:p>
    <w:p>
      <w:pPr>
        <w:spacing w:after="60" w:line="288" w:lineRule="auto"/>
        <w:ind w:left="0" w:right="255" w:hanging="159"/>
        <w:jc w:val="right"/>
        <w:bidi w:val="1"/>
      </w:pPr>
      <w:r>
        <w:rPr>
          <w:rFonts w:ascii="Arial" w:hAnsi="Arial" w:cs="Arial"/>
          <w:color w:val="111827"/>
          <w:sz w:val="20"/>
          <w:lang w:bidi="ar-EG" w:val="en-US"/>
        </w:rPr>
        <w:t>•  توفير قائمة المستخدمين والفرق والمحتوى والهوية التجارية والبيانات اللازمة في المواعيد المحددة.</w:t>
      </w:r>
    </w:p>
    <w:p>
      <w:pPr>
        <w:spacing w:after="60" w:line="288" w:lineRule="auto"/>
        <w:ind w:left="0" w:right="255" w:hanging="159"/>
        <w:jc w:val="right"/>
        <w:bidi w:val="1"/>
      </w:pPr>
      <w:r>
        <w:rPr>
          <w:rFonts w:ascii="Arial" w:hAnsi="Arial" w:cs="Arial"/>
          <w:color w:val="111827"/>
          <w:sz w:val="20"/>
          <w:lang w:bidi="ar-EG" w:val="en-US"/>
        </w:rPr>
        <w:t>•  تعيين ممثل واحد للاعتماد وتنفيذ UAT وإصدار القبول أو الملاحظات المجمعة.</w:t>
      </w:r>
    </w:p>
    <w:p>
      <w:pPr>
        <w:spacing w:after="60" w:line="288" w:lineRule="auto"/>
        <w:ind w:left="0" w:right="255" w:hanging="159"/>
        <w:jc w:val="right"/>
        <w:bidi w:val="1"/>
      </w:pPr>
      <w:r>
        <w:rPr>
          <w:rFonts w:ascii="Arial" w:hAnsi="Arial" w:cs="Arial"/>
          <w:color w:val="111827"/>
          <w:sz w:val="20"/>
          <w:lang w:bidi="ar-EG" w:val="en-US"/>
        </w:rPr>
        <w:t>•  سداد رسوم الاستضافة ورسوم Meta وWhatsApp وأي مزود خارجي أو ضرائب مطبقة.</w:t>
      </w:r>
    </w:p>
    <w:p>
      <w:pPr>
        <w:pStyle w:val="Heading1"/>
        <w:spacing w:before="240" w:after="100"/>
        <w:jc w:val="right"/>
        <w:keepNext/>
        <w:bidi w:val="1"/>
      </w:pPr>
      <w:r>
        <w:rPr>
          <w:rFonts w:ascii="Arial" w:hAnsi="Arial" w:cs="Arial"/>
          <w:b/>
          <w:color w:val="111827"/>
          <w:sz w:val="30"/>
          <w:lang w:bidi="ar-EG" w:val="en-US"/>
        </w:rPr>
        <w:t>12  خارج النطاق الأساسي  Out of Scope</w:t>
      </w:r>
    </w:p>
    <w:p>
      <w:pPr>
        <w:spacing w:before="0" w:after="100" w:line="293" w:lineRule="auto"/>
        <w:jc w:val="right"/>
        <w:bidi w:val="1"/>
      </w:pPr>
      <w:r>
        <w:rPr>
          <w:rFonts w:ascii="Arial" w:hAnsi="Arial" w:cs="Arial"/>
          <w:color w:val="111827"/>
          <w:sz w:val="20"/>
          <w:lang w:bidi="ar-EG" w:val="en-US"/>
        </w:rPr>
        <w:t>البنود التالية غير داخلة في سعر 700 دولار، ويمكن إضافتها بعرض منفصل بعد تحديد المتطلبات:</w:t>
      </w:r>
    </w:p>
    <w:p>
      <w:pPr>
        <w:spacing w:after="60" w:line="288" w:lineRule="auto"/>
        <w:ind w:left="0" w:right="255" w:hanging="159"/>
        <w:jc w:val="right"/>
        <w:bidi w:val="1"/>
      </w:pPr>
      <w:r>
        <w:rPr>
          <w:rFonts w:ascii="Arial" w:hAnsi="Arial" w:cs="Arial"/>
          <w:color w:val="111827"/>
          <w:sz w:val="20"/>
          <w:lang w:bidi="ar-EG" w:val="en-US"/>
        </w:rPr>
        <w:t>•  تكامل مخصص مع Odoo أو CRM أو ERP أو أنظمة محاسبة.</w:t>
      </w:r>
    </w:p>
    <w:p>
      <w:pPr>
        <w:spacing w:after="60" w:line="288" w:lineRule="auto"/>
        <w:ind w:left="0" w:right="255" w:hanging="159"/>
        <w:jc w:val="right"/>
        <w:bidi w:val="1"/>
      </w:pPr>
      <w:r>
        <w:rPr>
          <w:rFonts w:ascii="Arial" w:hAnsi="Arial" w:cs="Arial"/>
          <w:color w:val="111827"/>
          <w:sz w:val="20"/>
          <w:lang w:bidi="ar-EG" w:val="en-US"/>
        </w:rPr>
        <w:t>•  AI Agent أو Chatbot متقدم أو Knowledge Base أو تكاليف نماذج الذكاء الاصطناعي.</w:t>
      </w:r>
    </w:p>
    <w:p>
      <w:pPr>
        <w:spacing w:after="60" w:line="288" w:lineRule="auto"/>
        <w:ind w:left="0" w:right="255" w:hanging="159"/>
        <w:jc w:val="right"/>
        <w:bidi w:val="1"/>
      </w:pPr>
      <w:r>
        <w:rPr>
          <w:rFonts w:ascii="Arial" w:hAnsi="Arial" w:cs="Arial"/>
          <w:color w:val="111827"/>
          <w:sz w:val="20"/>
          <w:lang w:bidi="ar-EG" w:val="en-US"/>
        </w:rPr>
        <w:t>•  Workflow Builder أو Automation معقد أو قواعد توزيع Enterprise.</w:t>
      </w:r>
    </w:p>
    <w:p>
      <w:pPr>
        <w:spacing w:after="60" w:line="288" w:lineRule="auto"/>
        <w:ind w:left="0" w:right="255" w:hanging="159"/>
        <w:jc w:val="right"/>
        <w:bidi w:val="1"/>
      </w:pPr>
      <w:r>
        <w:rPr>
          <w:rFonts w:ascii="Arial" w:hAnsi="Arial" w:cs="Arial"/>
          <w:color w:val="111827"/>
          <w:sz w:val="20"/>
          <w:lang w:bidi="ar-EG" w:val="en-US"/>
        </w:rPr>
        <w:t>•  SSO وSAML وSCIM وMFA مخصص وتقارير امتثال متقدمة.</w:t>
      </w:r>
    </w:p>
    <w:p>
      <w:pPr>
        <w:spacing w:after="60" w:line="288" w:lineRule="auto"/>
        <w:ind w:left="0" w:right="255" w:hanging="159"/>
        <w:jc w:val="right"/>
        <w:bidi w:val="1"/>
      </w:pPr>
      <w:r>
        <w:rPr>
          <w:rFonts w:ascii="Arial" w:hAnsi="Arial" w:cs="Arial"/>
          <w:color w:val="111827"/>
          <w:sz w:val="20"/>
          <w:lang w:bidi="ar-EG" w:val="en-US"/>
        </w:rPr>
        <w:t>•  تطبيق موبايل Native، مركز اتصال صوتي، Email أو SMS مدفوع.</w:t>
      </w:r>
    </w:p>
    <w:p>
      <w:pPr>
        <w:spacing w:after="60" w:line="288" w:lineRule="auto"/>
        <w:ind w:left="0" w:right="255" w:hanging="159"/>
        <w:jc w:val="right"/>
        <w:bidi w:val="1"/>
      </w:pPr>
      <w:r>
        <w:rPr>
          <w:rFonts w:ascii="Arial" w:hAnsi="Arial" w:cs="Arial"/>
          <w:color w:val="111827"/>
          <w:sz w:val="20"/>
          <w:lang w:bidi="ar-EG" w:val="en-US"/>
        </w:rPr>
        <w:t>•  ترحيل وتنظيف بيانات كبيرة أو بناء تقارير مخصصة أو White Label كامل.</w:t>
      </w:r>
    </w:p>
    <w:p>
      <w:pPr>
        <w:spacing w:after="60" w:line="288" w:lineRule="auto"/>
        <w:ind w:left="0" w:right="255" w:hanging="159"/>
        <w:jc w:val="right"/>
        <w:bidi w:val="1"/>
      </w:pPr>
      <w:r>
        <w:rPr>
          <w:rFonts w:ascii="Arial" w:hAnsi="Arial" w:cs="Arial"/>
          <w:color w:val="111827"/>
          <w:sz w:val="20"/>
          <w:lang w:bidi="ar-EG" w:val="en-US"/>
        </w:rPr>
        <w:t>•  بنية Dedicated أو High Availability أو Disaster Recovery أو SLA Enterprise.</w:t>
      </w:r>
    </w:p>
    <w:p>
      <w:pPr>
        <w:spacing w:after="60" w:line="288" w:lineRule="auto"/>
        <w:ind w:left="0" w:right="255" w:hanging="159"/>
        <w:jc w:val="right"/>
        <w:bidi w:val="1"/>
      </w:pPr>
      <w:r>
        <w:rPr>
          <w:rFonts w:ascii="Arial" w:hAnsi="Arial" w:cs="Arial"/>
          <w:color w:val="111827"/>
          <w:sz w:val="20"/>
          <w:lang w:bidi="ar-EG" w:val="en-US"/>
        </w:rPr>
        <w:t>•  نقل ملكية الكود أو حقوق حصرية للمنتج؛ هذه تُسعر باتفاق مستقل.</w:t>
      </w:r>
    </w:p>
    <w:p>
      <w:pPr>
        <w:pStyle w:val="Heading1"/>
        <w:spacing w:before="240" w:after="100"/>
        <w:jc w:val="right"/>
        <w:keepNext/>
        <w:bidi w:val="1"/>
      </w:pPr>
      <w:r>
        <w:rPr>
          <w:rFonts w:ascii="Arial" w:hAnsi="Arial" w:cs="Arial"/>
          <w:b/>
          <w:color w:val="111827"/>
          <w:sz w:val="30"/>
          <w:lang w:bidi="ar-EG" w:val="en-US"/>
        </w:rPr>
        <w:t>13  معايير القبول  Acceptance Criteria</w:t>
      </w:r>
    </w:p>
    <w:p>
      <w:pPr>
        <w:spacing w:after="60" w:line="288" w:lineRule="auto"/>
        <w:ind w:left="0" w:right="255" w:hanging="159"/>
        <w:jc w:val="right"/>
        <w:bidi w:val="1"/>
      </w:pPr>
      <w:r>
        <w:rPr>
          <w:rFonts w:ascii="Arial" w:hAnsi="Arial" w:cs="Arial"/>
          <w:color w:val="111827"/>
          <w:sz w:val="20"/>
          <w:lang w:bidi="ar-EG" w:val="en-US"/>
        </w:rPr>
        <w:t>•  يستطيع Admin إنشاء المستخدمين وتحديد أدوارهم دون وصول شركة أخرى للبيانات.</w:t>
      </w:r>
    </w:p>
    <w:p>
      <w:pPr>
        <w:spacing w:after="60" w:line="288" w:lineRule="auto"/>
        <w:ind w:left="0" w:right="255" w:hanging="159"/>
        <w:jc w:val="right"/>
        <w:bidi w:val="1"/>
      </w:pPr>
      <w:r>
        <w:rPr>
          <w:rFonts w:ascii="Arial" w:hAnsi="Arial" w:cs="Arial"/>
          <w:color w:val="111827"/>
          <w:sz w:val="20"/>
          <w:lang w:bidi="ar-EG" w:val="en-US"/>
        </w:rPr>
        <w:t>•  تظهر الرسائل المؤهلة من القنوات المربوطة داخل Inbox ويمكن فتحها والرد عليها.</w:t>
      </w:r>
    </w:p>
    <w:p>
      <w:pPr>
        <w:spacing w:after="60" w:line="288" w:lineRule="auto"/>
        <w:ind w:left="0" w:right="255" w:hanging="159"/>
        <w:jc w:val="right"/>
        <w:bidi w:val="1"/>
      </w:pPr>
      <w:r>
        <w:rPr>
          <w:rFonts w:ascii="Arial" w:hAnsi="Arial" w:cs="Arial"/>
          <w:color w:val="111827"/>
          <w:sz w:val="20"/>
          <w:lang w:bidi="ar-EG" w:val="en-US"/>
        </w:rPr>
        <w:t>•  تعمل فلاتر القراءة والتعيين والموظف والقناة والحالة على بيانات العميل.</w:t>
      </w:r>
    </w:p>
    <w:p>
      <w:pPr>
        <w:spacing w:after="60" w:line="288" w:lineRule="auto"/>
        <w:ind w:left="0" w:right="255" w:hanging="159"/>
        <w:jc w:val="right"/>
        <w:bidi w:val="1"/>
      </w:pPr>
      <w:r>
        <w:rPr>
          <w:rFonts w:ascii="Arial" w:hAnsi="Arial" w:cs="Arial"/>
          <w:color w:val="111827"/>
          <w:sz w:val="20"/>
          <w:lang w:bidi="ar-EG" w:val="en-US"/>
        </w:rPr>
        <w:t>•  يستطيع Agent إدارة دورة المحادثة وإضافة ملاحظة داخلية لا تصل إلى العميل.</w:t>
      </w:r>
    </w:p>
    <w:p>
      <w:pPr>
        <w:spacing w:after="60" w:line="288" w:lineRule="auto"/>
        <w:ind w:left="0" w:right="255" w:hanging="159"/>
        <w:jc w:val="right"/>
        <w:bidi w:val="1"/>
      </w:pPr>
      <w:r>
        <w:rPr>
          <w:rFonts w:ascii="Arial" w:hAnsi="Arial" w:cs="Arial"/>
          <w:color w:val="111827"/>
          <w:sz w:val="20"/>
          <w:lang w:bidi="ar-EG" w:val="en-US"/>
        </w:rPr>
        <w:t>•  يمكن إنشاء Broadcast تجريبي بقالب معتمد إلى جمهور مصرح به ومتابعة النتيجة المتاحة.</w:t>
      </w:r>
    </w:p>
    <w:p>
      <w:pPr>
        <w:spacing w:after="60" w:line="288" w:lineRule="auto"/>
        <w:ind w:left="0" w:right="255" w:hanging="159"/>
        <w:jc w:val="right"/>
        <w:bidi w:val="1"/>
      </w:pPr>
      <w:r>
        <w:rPr>
          <w:rFonts w:ascii="Arial" w:hAnsi="Arial" w:cs="Arial"/>
          <w:color w:val="111827"/>
          <w:sz w:val="20"/>
          <w:lang w:bidi="ar-EG" w:val="en-US"/>
        </w:rPr>
        <w:t>•  يظهر التقرير الأساسي بيانات الشركة فقط، وتُعالج العيوب الحرجة المتفق عليها قبل Go Live.</w:t>
      </w:r>
    </w:p>
    <w:p>
      <w:r>
        <w:br w:type="page"/>
      </w:r>
    </w:p>
    <w:p>
      <w:pPr>
        <w:pStyle w:val="Heading1"/>
        <w:spacing w:before="240" w:after="100"/>
        <w:jc w:val="right"/>
        <w:keepNext/>
        <w:bidi w:val="1"/>
      </w:pPr>
      <w:r>
        <w:rPr>
          <w:rFonts w:ascii="Arial" w:hAnsi="Arial" w:cs="Arial"/>
          <w:b/>
          <w:color w:val="111827"/>
          <w:sz w:val="30"/>
          <w:lang w:bidi="ar-EG" w:val="en-US"/>
        </w:rPr>
        <w:t>14  العرض التجاري  Commercial Proposal</w:t>
      </w:r>
    </w:p>
    <w:tbl>
      <w:tblPr>
        <w:tblW w:type="auto" w:w="0"/>
        <w:jc w:val="center"/>
        <w:tblLayout w:type="fixed"/>
        <w:tblLook w:firstColumn="1" w:firstRow="1" w:lastColumn="0" w:lastRow="0" w:noHBand="0" w:noVBand="1" w:val="04A0"/>
        <w:tblBorders>
          <w:top w:val="single" w:sz="6" w:color="D9DEE7"/>
          <w:start w:val="single" w:sz="6" w:color="D9DEE7"/>
          <w:bottom w:val="single" w:sz="6" w:color="D9DEE7"/>
          <w:end w:val="single" w:sz="6" w:color="D9DEE7"/>
          <w:insideH w:val="single" w:sz="6" w:color="D9DEE7"/>
          <w:insideV w:val="single" w:sz="6" w:color="D9DEE7"/>
        </w:tblBorders>
      </w:tblPr>
      <w:tblGrid>
        <w:gridCol w:w="3345"/>
        <w:gridCol w:w="3345"/>
        <w:gridCol w:w="3345"/>
      </w:tblGrid>
      <w:tr>
        <w:trPr>
          <w:tblHeader w:val="true"/>
        </w:trPr>
        <w:tc>
          <w:tcPr>
            <w:tcW w:type="dxa" w:w="2891"/>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البند  Commercial Item</w:t>
            </w:r>
          </w:p>
        </w:tc>
        <w:tc>
          <w:tcPr>
            <w:tcW w:type="dxa" w:w="2098"/>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السعر</w:t>
            </w:r>
          </w:p>
        </w:tc>
        <w:tc>
          <w:tcPr>
            <w:tcW w:type="dxa" w:w="4309"/>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التفاصيل</w:t>
            </w:r>
          </w:p>
        </w:tc>
      </w:tr>
      <w:tr>
        <w:trPr>
          <w:cantSplit/>
        </w:trPr>
        <w:tc>
          <w:tcPr>
            <w:tcW w:type="dxa" w:w="2891"/>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التجهيز والتفعيل  Setup and Activation</w:t>
            </w:r>
          </w:p>
        </w:tc>
        <w:tc>
          <w:tcPr>
            <w:tcW w:type="dxa" w:w="2098"/>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USD 700 مرة واحدة</w:t>
            </w:r>
          </w:p>
        </w:tc>
        <w:tc>
          <w:tcPr>
            <w:tcW w:type="dxa" w:w="4309"/>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يشمل النطاق الأساسي في هذه الوثيقة لحساب شركة واحدة.</w:t>
            </w:r>
          </w:p>
        </w:tc>
      </w:tr>
      <w:tr>
        <w:trPr>
          <w:cantSplit/>
        </w:trPr>
        <w:tc>
          <w:tcPr>
            <w:tcW w:type="dxa" w:w="2891"/>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الاستضافة والتشغيل  Hosting</w:t>
            </w:r>
          </w:p>
        </w:tc>
        <w:tc>
          <w:tcPr>
            <w:tcW w:type="dxa" w:w="2098"/>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USD 40 شهريًا</w:t>
            </w:r>
          </w:p>
        </w:tc>
        <w:tc>
          <w:tcPr>
            <w:tcW w:type="dxa" w:w="4309"/>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مساهمة البنية المشتركة والتشغيل الأساسي؛ يمكن تحصيلها كل 3 أو 6 أشهر.</w:t>
            </w:r>
          </w:p>
        </w:tc>
      </w:tr>
      <w:tr>
        <w:trPr>
          <w:cantSplit/>
        </w:trPr>
        <w:tc>
          <w:tcPr>
            <w:tcW w:type="dxa" w:w="2891"/>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رسوم المستخدمين</w:t>
            </w:r>
          </w:p>
        </w:tc>
        <w:tc>
          <w:tcPr>
            <w:tcW w:type="dxa" w:w="2098"/>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USD 0 لكل مستخدم</w:t>
            </w:r>
          </w:p>
        </w:tc>
        <w:tc>
          <w:tcPr>
            <w:tcW w:type="dxa" w:w="4309"/>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حتى 20 مستخدمًا مسمى ضمن حدود الاستخدام المتفق عليها.</w:t>
            </w:r>
          </w:p>
        </w:tc>
      </w:tr>
      <w:tr>
        <w:trPr>
          <w:cantSplit/>
        </w:trPr>
        <w:tc>
          <w:tcPr>
            <w:tcW w:type="dxa" w:w="2891"/>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رسوم Meta وWhatsApp</w:t>
            </w:r>
          </w:p>
        </w:tc>
        <w:tc>
          <w:tcPr>
            <w:tcW w:type="dxa" w:w="2098"/>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على العميل</w:t>
            </w:r>
          </w:p>
        </w:tc>
        <w:tc>
          <w:tcPr>
            <w:tcW w:type="dxa" w:w="4309"/>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تُدفع حسب الأسعار والاستهلاك الفعلي لدى المزود، ولا تدخل في سعر المشروع.</w:t>
            </w:r>
          </w:p>
        </w:tc>
      </w:tr>
      <w:tr>
        <w:trPr>
          <w:cantSplit/>
        </w:trPr>
        <w:tc>
          <w:tcPr>
            <w:tcW w:type="dxa" w:w="2891"/>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خدمات خارجية أخرى</w:t>
            </w:r>
          </w:p>
        </w:tc>
        <w:tc>
          <w:tcPr>
            <w:tcW w:type="dxa" w:w="2098"/>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على العميل</w:t>
            </w:r>
          </w:p>
        </w:tc>
        <w:tc>
          <w:tcPr>
            <w:tcW w:type="dxa" w:w="4309"/>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مثل Email أوSMS أوAI أوStorage إضافي عند طلبها.</w:t>
            </w:r>
          </w:p>
        </w:tc>
      </w:tr>
      <w:tr>
        <w:trPr>
          <w:cantSplit/>
        </w:trPr>
        <w:tc>
          <w:tcPr>
            <w:tcW w:type="dxa" w:w="2891"/>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إضافات مخصصة</w:t>
            </w:r>
          </w:p>
        </w:tc>
        <w:tc>
          <w:tcPr>
            <w:tcW w:type="dxa" w:w="2098"/>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عرض منفصل</w:t>
            </w:r>
          </w:p>
        </w:tc>
        <w:tc>
          <w:tcPr>
            <w:tcW w:type="dxa" w:w="4309"/>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تُقدر بعد تعريف Scope ومعايير قبول واضحة.</w:t>
            </w:r>
          </w:p>
        </w:tc>
      </w:tr>
    </w:tbl>
    <w:p>
      <w:pPr>
        <w:spacing w:after="20"/>
      </w:pPr>
    </w:p>
    <w:p>
      <w:pPr>
        <w:pStyle w:val="Heading2"/>
        <w:spacing w:before="160" w:after="100"/>
        <w:jc w:val="right"/>
        <w:keepNext/>
        <w:bidi w:val="1"/>
      </w:pPr>
      <w:r>
        <w:rPr>
          <w:rFonts w:ascii="Arial" w:hAnsi="Arial" w:cs="Arial"/>
          <w:b/>
          <w:color w:val="111827"/>
          <w:sz w:val="24"/>
          <w:lang w:bidi="ar-EG" w:val="en-US"/>
        </w:rPr>
        <w:t>جدول الدفعات  Payment Milestones</w:t>
      </w:r>
    </w:p>
    <w:tbl>
      <w:tblPr>
        <w:tblW w:type="auto" w:w="0"/>
        <w:jc w:val="center"/>
        <w:tblLayout w:type="fixed"/>
        <w:tblLook w:firstColumn="1" w:firstRow="1" w:lastColumn="0" w:lastRow="0" w:noHBand="0" w:noVBand="1" w:val="04A0"/>
        <w:tblBorders>
          <w:top w:val="single" w:sz="6" w:color="D9DEE7"/>
          <w:start w:val="single" w:sz="6" w:color="D9DEE7"/>
          <w:bottom w:val="single" w:sz="6" w:color="D9DEE7"/>
          <w:end w:val="single" w:sz="6" w:color="D9DEE7"/>
          <w:insideH w:val="single" w:sz="6" w:color="D9DEE7"/>
          <w:insideV w:val="single" w:sz="6" w:color="D9DEE7"/>
        </w:tblBorders>
      </w:tblPr>
      <w:tblGrid>
        <w:gridCol w:w="3345"/>
        <w:gridCol w:w="3345"/>
        <w:gridCol w:w="3345"/>
      </w:tblGrid>
      <w:tr>
        <w:trPr>
          <w:tblHeader w:val="true"/>
        </w:trPr>
        <w:tc>
          <w:tcPr>
            <w:tcW w:type="dxa" w:w="2381"/>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الدفعة</w:t>
            </w:r>
          </w:p>
        </w:tc>
        <w:tc>
          <w:tcPr>
            <w:tcW w:type="dxa" w:w="2268"/>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النسبة</w:t>
            </w:r>
          </w:p>
        </w:tc>
        <w:tc>
          <w:tcPr>
            <w:tcW w:type="dxa" w:w="4649"/>
            <w:shd w:fill="173B6C"/>
            <w:tcMar>
              <w:top w:w="115" w:type="dxa"/>
              <w:start w:w="120" w:type="dxa"/>
              <w:bottom w:w="115" w:type="dxa"/>
              <w:end w:w="120" w:type="dxa"/>
            </w:tcMar>
            <w:vAlign w:val="center"/>
          </w:tcPr>
          <w:p>
            <w:pPr>
              <w:spacing w:after="0"/>
              <w:jc w:val="center"/>
              <w:bidi w:val="1"/>
            </w:pPr>
            <w:r>
              <w:rPr>
                <w:rFonts w:ascii="Arial" w:hAnsi="Arial" w:cs="Arial"/>
                <w:b/>
                <w:color w:val="FFFFFF"/>
                <w:sz w:val="17"/>
                <w:lang w:bidi="ar-EG" w:val="en-US"/>
              </w:rPr>
              <w:t>موعد الاستحقاق</w:t>
            </w:r>
          </w:p>
        </w:tc>
      </w:tr>
      <w:tr>
        <w:trPr>
          <w:cantSplit/>
        </w:trPr>
        <w:tc>
          <w:tcPr>
            <w:tcW w:type="dxa" w:w="2381"/>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الدفعة الأولى</w:t>
            </w:r>
          </w:p>
        </w:tc>
        <w:tc>
          <w:tcPr>
            <w:tcW w:type="dxa" w:w="2268"/>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50%  USD 350</w:t>
            </w:r>
          </w:p>
        </w:tc>
        <w:tc>
          <w:tcPr>
            <w:tcW w:type="dxa" w:w="4649"/>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عند اعتماد العرض وبدء التنفيذ.</w:t>
            </w:r>
          </w:p>
        </w:tc>
      </w:tr>
      <w:tr>
        <w:trPr>
          <w:cantSplit/>
        </w:trPr>
        <w:tc>
          <w:tcPr>
            <w:tcW w:type="dxa" w:w="2381"/>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الدفعة الثانية</w:t>
            </w:r>
          </w:p>
        </w:tc>
        <w:tc>
          <w:tcPr>
            <w:tcW w:type="dxa" w:w="2268"/>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30%  USD 210</w:t>
            </w:r>
          </w:p>
        </w:tc>
        <w:tc>
          <w:tcPr>
            <w:tcW w:type="dxa" w:w="4649"/>
            <w:shd w:fill="F7F9FC"/>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عند تسليم Beta جاهزة لاختبار العميل.</w:t>
            </w:r>
          </w:p>
        </w:tc>
      </w:tr>
      <w:tr>
        <w:trPr>
          <w:cantSplit/>
        </w:trPr>
        <w:tc>
          <w:tcPr>
            <w:tcW w:type="dxa" w:w="2381"/>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الدفعة النهائية</w:t>
            </w:r>
          </w:p>
        </w:tc>
        <w:tc>
          <w:tcPr>
            <w:tcW w:type="dxa" w:w="2268"/>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20%  USD 140</w:t>
            </w:r>
          </w:p>
        </w:tc>
        <w:tc>
          <w:tcPr>
            <w:tcW w:type="dxa" w:w="4649"/>
            <w:shd w:fill="FFFFFF"/>
            <w:tcMar>
              <w:top w:w="100" w:type="dxa"/>
              <w:start w:w="120" w:type="dxa"/>
              <w:bottom w:w="100" w:type="dxa"/>
              <w:end w:w="120" w:type="dxa"/>
            </w:tcMar>
            <w:vAlign w:val="center"/>
          </w:tcPr>
          <w:p>
            <w:pPr>
              <w:spacing w:after="0" w:line="276" w:lineRule="auto"/>
              <w:jc w:val="right"/>
              <w:bidi w:val="1"/>
            </w:pPr>
            <w:r>
              <w:rPr>
                <w:rFonts w:ascii="Arial" w:hAnsi="Arial" w:cs="Arial"/>
                <w:color w:val="111827"/>
                <w:sz w:val="17"/>
                <w:lang w:bidi="ar-EG" w:val="en-US"/>
              </w:rPr>
              <w:t>عند القبول وGo Live.</w:t>
            </w:r>
          </w:p>
        </w:tc>
      </w:tr>
    </w:tbl>
    <w:p>
      <w:pPr>
        <w:spacing w:after="20"/>
      </w:pPr>
    </w:p>
    <w:p>
      <w:pPr>
        <w:pStyle w:val="Heading2"/>
        <w:spacing w:before="160" w:after="100"/>
        <w:jc w:val="right"/>
        <w:keepNext/>
        <w:bidi w:val="1"/>
      </w:pPr>
      <w:r>
        <w:rPr>
          <w:rFonts w:ascii="Arial" w:hAnsi="Arial" w:cs="Arial"/>
          <w:b/>
          <w:color w:val="111827"/>
          <w:sz w:val="24"/>
          <w:lang w:bidi="ar-EG" w:val="en-US"/>
        </w:rPr>
        <w:t>طريقة تسعير أي طلب إضافي  Change Pricing</w:t>
      </w:r>
    </w:p>
    <w:p>
      <w:pPr>
        <w:spacing w:before="0" w:after="100" w:line="293" w:lineRule="auto"/>
        <w:jc w:val="right"/>
        <w:bidi w:val="1"/>
      </w:pPr>
      <w:r>
        <w:rPr>
          <w:rFonts w:ascii="Arial" w:hAnsi="Arial" w:cs="Arial"/>
          <w:color w:val="111827"/>
          <w:sz w:val="20"/>
          <w:lang w:bidi="ar-EG" w:val="en-US"/>
        </w:rPr>
        <w:t>أي طلب لا يظهر صراحة في جدول النطاق يعامل كـChange Request. يتم تحديد الهدف، المدخلات، النتيجة ومعيار القبول، ثم تسعيره بإحدى الطرق التالية: سعر ثابت للميزة، سعر Sprint، أو تكلفة زمنية متفق عليها. لا يبدأ التنفيذ قبل موافقة مكتوبة.</w:t>
      </w:r>
    </w:p>
    <w:p>
      <w:pPr>
        <w:pStyle w:val="Heading1"/>
        <w:spacing w:before="240" w:after="100"/>
        <w:jc w:val="right"/>
        <w:keepNext/>
        <w:bidi w:val="1"/>
      </w:pPr>
      <w:r>
        <w:rPr>
          <w:rFonts w:ascii="Arial" w:hAnsi="Arial" w:cs="Arial"/>
          <w:b/>
          <w:color w:val="111827"/>
          <w:sz w:val="30"/>
          <w:lang w:bidi="ar-EG" w:val="en-US"/>
        </w:rPr>
        <w:t>15  الافتراضات والشروط  Assumptions</w:t>
      </w:r>
    </w:p>
    <w:p>
      <w:pPr>
        <w:spacing w:after="60" w:line="288" w:lineRule="auto"/>
        <w:ind w:left="0" w:right="255" w:hanging="159"/>
        <w:jc w:val="right"/>
        <w:bidi w:val="1"/>
      </w:pPr>
      <w:r>
        <w:rPr>
          <w:rFonts w:ascii="Arial" w:hAnsi="Arial" w:cs="Arial"/>
          <w:color w:val="111827"/>
          <w:sz w:val="20"/>
          <w:lang w:bidi="ar-EG" w:val="en-US"/>
        </w:rPr>
        <w:t>•  الأسعار بالدولار الأمريكي ولا تشمل الضرائب أو رسوم التحويل إن وجدت.</w:t>
      </w:r>
    </w:p>
    <w:p>
      <w:pPr>
        <w:spacing w:after="60" w:line="288" w:lineRule="auto"/>
        <w:ind w:left="0" w:right="255" w:hanging="159"/>
        <w:jc w:val="right"/>
        <w:bidi w:val="1"/>
      </w:pPr>
      <w:r>
        <w:rPr>
          <w:rFonts w:ascii="Arial" w:hAnsi="Arial" w:cs="Arial"/>
          <w:color w:val="111827"/>
          <w:sz w:val="20"/>
          <w:lang w:bidi="ar-EG" w:val="en-US"/>
        </w:rPr>
        <w:t>•  صلاحية العرض 14 يومًا من تاريخ الوثيقة، ويبدأ الجدول بعد الدفعة الأولى واعتماد النطاق.</w:t>
      </w:r>
    </w:p>
    <w:p>
      <w:pPr>
        <w:spacing w:after="60" w:line="288" w:lineRule="auto"/>
        <w:ind w:left="0" w:right="255" w:hanging="159"/>
        <w:jc w:val="right"/>
        <w:bidi w:val="1"/>
      </w:pPr>
      <w:r>
        <w:rPr>
          <w:rFonts w:ascii="Arial" w:hAnsi="Arial" w:cs="Arial"/>
          <w:color w:val="111827"/>
          <w:sz w:val="20"/>
          <w:lang w:bidi="ar-EG" w:val="en-US"/>
        </w:rPr>
        <w:t>•  الـ40 دولار شهريًا مبنية على تشغيل مشترك واستخدام متوسط؛ إذا تطلب العميل موارد Dedicated أو ارتفع الحجم بصورة جوهرية تتم مراجعة تكلفة الاستضافة قبل التوسعة.</w:t>
      </w:r>
    </w:p>
    <w:p>
      <w:pPr>
        <w:spacing w:after="60" w:line="288" w:lineRule="auto"/>
        <w:ind w:left="0" w:right="255" w:hanging="159"/>
        <w:jc w:val="right"/>
        <w:bidi w:val="1"/>
      </w:pPr>
      <w:r>
        <w:rPr>
          <w:rFonts w:ascii="Arial" w:hAnsi="Arial" w:cs="Arial"/>
          <w:color w:val="111827"/>
          <w:sz w:val="20"/>
          <w:lang w:bidi="ar-EG" w:val="en-US"/>
        </w:rPr>
        <w:t>•  إمكانيات القنوات تتبع سياسات وموافقات Meta وقد تتغير أو تتأخر خارج سيطرة مقدم الخدمة.</w:t>
      </w:r>
    </w:p>
    <w:p>
      <w:pPr>
        <w:spacing w:after="60" w:line="288" w:lineRule="auto"/>
        <w:ind w:left="0" w:right="255" w:hanging="159"/>
        <w:jc w:val="right"/>
        <w:bidi w:val="1"/>
      </w:pPr>
      <w:r>
        <w:rPr>
          <w:rFonts w:ascii="Arial" w:hAnsi="Arial" w:cs="Arial"/>
          <w:color w:val="111827"/>
          <w:sz w:val="20"/>
          <w:lang w:bidi="ar-EG" w:val="en-US"/>
        </w:rPr>
        <w:t>•  فترة الضمان تعالج العيوب المخالفة للنطاق، ولا تشمل تطوير خصائص جديدة أو تغييرات سياسات المزود.</w:t>
      </w:r>
    </w:p>
    <w:p>
      <w:pPr>
        <w:spacing w:after="60" w:line="288" w:lineRule="auto"/>
        <w:ind w:left="0" w:right="255" w:hanging="159"/>
        <w:jc w:val="right"/>
        <w:bidi w:val="1"/>
      </w:pPr>
      <w:r>
        <w:rPr>
          <w:rFonts w:ascii="Arial" w:hAnsi="Arial" w:cs="Arial"/>
          <w:color w:val="111827"/>
          <w:sz w:val="20"/>
          <w:lang w:bidi="ar-EG" w:val="en-US"/>
        </w:rPr>
        <w:t>•  اعتماد هذه الوثيقة يعني الموافقة على النطاق التجاري المبدئي، وتُستكمل التفاصيل القانونية في العرض أو العقد النهائي.</w:t>
      </w:r>
    </w:p>
    <w:p>
      <w:pPr>
        <w:pStyle w:val="Heading1"/>
        <w:spacing w:before="240" w:after="100"/>
        <w:jc w:val="right"/>
        <w:keepNext/>
        <w:bidi w:val="1"/>
      </w:pPr>
      <w:r>
        <w:rPr>
          <w:rFonts w:ascii="Arial" w:hAnsi="Arial" w:cs="Arial"/>
          <w:b/>
          <w:color w:val="111827"/>
          <w:sz w:val="30"/>
          <w:lang w:bidi="ar-EG" w:val="en-US"/>
        </w:rPr>
        <w:t>16  الخطوة التالية  Next Step</w:t>
      </w:r>
    </w:p>
    <w:p>
      <w:pPr>
        <w:spacing w:before="0" w:after="100" w:line="293" w:lineRule="auto"/>
        <w:jc w:val="right"/>
        <w:bidi w:val="1"/>
      </w:pPr>
      <w:r>
        <w:rPr>
          <w:rFonts w:ascii="Arial" w:hAnsi="Arial" w:cs="Arial"/>
          <w:color w:val="111827"/>
          <w:sz w:val="20"/>
          <w:lang w:bidi="ar-EG" w:val="en-US"/>
        </w:rPr>
        <w:t>بعد موافقة العميل المبدئية، نعقد جلسة اعتماد قصيرة لتثبيت القنوات وعدد المستخدمين وسيناريوهات المحادثات والـBroadcasts، ثم نصدر العرض النهائي ونبدأ التنفيذ بعد الدفعة الأولى وتوفير حسابات Meta.</w:t>
      </w:r>
    </w:p>
    <w:p>
      <w:pPr>
        <w:spacing w:before="480" w:after="240" w:line="293" w:lineRule="auto"/>
        <w:jc w:val="right"/>
        <w:bidi w:val="1"/>
      </w:pPr>
      <w:r>
        <w:rPr>
          <w:rFonts w:ascii="Arial" w:hAnsi="Arial" w:cs="Arial"/>
          <w:b/>
          <w:color w:val="111827"/>
          <w:sz w:val="20"/>
          <w:lang w:bidi="ar-EG" w:val="en-US"/>
        </w:rPr>
        <w:t>اعتماد العميل</w:t>
      </w:r>
      <w:r>
        <w:rPr>
          <w:rFonts w:ascii="Arial" w:hAnsi="Arial" w:cs="Arial"/>
          <w:color w:val="111827"/>
          <w:sz w:val="20"/>
          <w:lang w:bidi="ar-EG" w:val="en-US"/>
        </w:rPr>
        <w:t xml:space="preserve">  Client Approval</w:t>
      </w:r>
    </w:p>
    <w:tbl>
      <w:tblPr>
        <w:tblW w:type="auto" w:w="0"/>
        <w:jc w:val="center"/>
        <w:tblLayout w:type="fixed"/>
        <w:tblLook w:firstColumn="1" w:firstRow="1" w:lastColumn="0" w:lastRow="0" w:noHBand="0" w:noVBand="1" w:val="04A0"/>
        <w:tblBorders>
          <w:top w:val="single" w:sz="6" w:color="D9DEE7"/>
          <w:start w:val="single" w:sz="6" w:color="D9DEE7"/>
          <w:bottom w:val="single" w:sz="6" w:color="D9DEE7"/>
          <w:end w:val="single" w:sz="6" w:color="D9DEE7"/>
          <w:insideH w:val="single" w:sz="6" w:color="D9DEE7"/>
          <w:insideV w:val="single" w:sz="6" w:color="D9DEE7"/>
        </w:tblBorders>
      </w:tblPr>
      <w:tblGrid>
        <w:gridCol w:w="5018"/>
        <w:gridCol w:w="5018"/>
      </w:tblGrid>
      <w:tr>
        <w:trPr>
          <w:cantSplit/>
        </w:trPr>
        <w:tc>
          <w:tcPr>
            <w:tcW w:type="dxa" w:w="5018"/>
            <w:tcMar>
              <w:top w:w="160" w:type="dxa"/>
              <w:start w:w="150" w:type="dxa"/>
              <w:bottom w:w="160" w:type="dxa"/>
              <w:end w:w="150" w:type="dxa"/>
            </w:tcMar>
          </w:tcPr>
          <w:p>
            <w:pPr>
              <w:jc w:val="right"/>
              <w:bidi w:val="1"/>
            </w:pPr>
            <w:r>
              <w:rPr>
                <w:rFonts w:ascii="Arial" w:hAnsi="Arial" w:cs="Arial"/>
                <w:b/>
                <w:color w:val="111827"/>
                <w:sz w:val="18"/>
                <w:lang w:bidi="ar-EG" w:val="en-US"/>
              </w:rPr>
              <w:t>الاسم والتوقيع  Name and Signature</w:t>
            </w:r>
          </w:p>
        </w:tc>
        <w:tc>
          <w:tcPr>
            <w:tcW w:type="dxa" w:w="5018"/>
            <w:tcMar>
              <w:top w:w="160" w:type="dxa"/>
              <w:start w:w="150" w:type="dxa"/>
              <w:bottom w:w="160" w:type="dxa"/>
              <w:end w:w="150" w:type="dxa"/>
            </w:tcMar>
          </w:tcPr>
          <w:p>
            <w:pPr>
              <w:jc w:val="right"/>
              <w:bidi w:val="1"/>
            </w:pPr>
            <w:r>
              <w:rPr>
                <w:rFonts w:ascii="Arial" w:hAnsi="Arial" w:cs="Arial"/>
                <w:b/>
                <w:color w:val="111827"/>
                <w:sz w:val="18"/>
                <w:lang w:bidi="ar-EG" w:val="en-US"/>
              </w:rPr>
              <w:t>التاريخ  Date</w:t>
            </w:r>
          </w:p>
        </w:tc>
      </w:tr>
      <w:tr>
        <w:trPr>
          <w:cantSplit/>
        </w:trPr>
        <w:tc>
          <w:tcPr>
            <w:tcW w:type="dxa" w:w="5018"/>
            <w:tcMar>
              <w:top w:w="520" w:type="dxa"/>
              <w:start w:w="150" w:type="dxa"/>
              <w:bottom w:w="520" w:type="dxa"/>
              <w:end w:w="150" w:type="dxa"/>
            </w:tcMar>
          </w:tcPr>
          <w:p>
            <w:pPr>
              <w:jc w:val="right"/>
              <w:bidi w:val="1"/>
            </w:pPr>
            <w:r>
              <w:rPr>
                <w:rFonts w:ascii="Arial" w:hAnsi="Arial" w:cs="Arial"/>
                <w:b w:val="0"/>
                <w:color w:val="111827"/>
                <w:sz w:val="18"/>
                <w:lang w:bidi="ar-EG" w:val="en-US"/>
              </w:rPr>
            </w:r>
          </w:p>
        </w:tc>
        <w:tc>
          <w:tcPr>
            <w:tcW w:type="dxa" w:w="5018"/>
            <w:tcMar>
              <w:top w:w="520" w:type="dxa"/>
              <w:start w:w="150" w:type="dxa"/>
              <w:bottom w:w="520" w:type="dxa"/>
              <w:end w:w="150" w:type="dxa"/>
            </w:tcMar>
          </w:tcPr>
          <w:p>
            <w:pPr>
              <w:jc w:val="right"/>
              <w:bidi w:val="1"/>
            </w:pPr>
            <w:r>
              <w:rPr>
                <w:rFonts w:ascii="Arial" w:hAnsi="Arial" w:cs="Arial"/>
                <w:b w:val="0"/>
                <w:color w:val="111827"/>
                <w:sz w:val="18"/>
                <w:lang w:bidi="ar-EG" w:val="en-US"/>
              </w:rPr>
            </w:r>
          </w:p>
        </w:tc>
      </w:tr>
    </w:tbl>
    <w:sectPr w:rsidR="00FC693F" w:rsidRPr="0006063C" w:rsidSect="00034616">
      <w:footerReference w:type="default" r:id="rId9"/>
      <w:pgSz w:w="11906" w:h="16838"/>
      <w:pgMar w:top="879" w:right="935" w:bottom="822"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color w:val="5A6373"/>
        <w:sz w:val="16"/>
        <w:lang w:bidi="ar-EG" w:val="en-US"/>
      </w:rPr>
      <w:t xml:space="preserve">CONVO  |  BRD  |  صفحة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11182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 Business Requirements Document</dc:title>
  <dc:subject>Medium Business Multi Tenant Customer Communication Platform</dc:subject>
  <dc:creator>CONVO</dc:creator>
  <cp:keywords>BRD, customer communication, omnichannel, WhatsApp, Arabic</cp:keywords>
  <dc:description>generated by python-docx</dc:description>
  <cp:lastModifiedBy/>
  <cp:revision>1</cp:revision>
  <dcterms:created xsi:type="dcterms:W3CDTF">2013-12-23T23:15:00Z</dcterms:created>
  <dcterms:modified xsi:type="dcterms:W3CDTF">2013-12-23T23:15:00Z</dcterms:modified>
  <cp:category/>
</cp:coreProperties>
</file>