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8"/>
          <w:sz w:val="30"/>
          <w:szCs w:val="30"/>
        </w:rPr>
        <w:t xml:space="preserve">One-Page Initial Plan</w:t>
      </w:r>
    </w:p>
    <w:p>
      <w:pPr>
        <w:spacing w:after="40"/>
        <w:jc w:val="center"/>
      </w:pPr>
      <w:r>
        <w:rPr>
          <w:rFonts w:ascii="Calibri" w:cs="Calibri" w:eastAsia="Calibri" w:hAnsi="Calibri"/>
          <w:i/>
          <w:iCs/>
          <w:sz w:val="22"/>
          <w:szCs w:val="22"/>
        </w:rPr>
        <w:t xml:space="preserve">An Empirical Evaluation and Benchmark of AI-Generated Vulnerabilities in Code</w:t>
      </w:r>
    </w:p>
    <w:p>
      <w:pPr>
        <w:pBdr>
          <w:bottom w:val="single" w:color="1F4E78" w:sz="6" w:space="4"/>
        </w:pBdr>
        <w:spacing w:after="160"/>
        <w:jc w:val="center"/>
      </w:pPr>
      <w:r>
        <w:rPr>
          <w:rFonts w:ascii="Calibri" w:cs="Calibri" w:eastAsia="Calibri" w:hAnsi="Calibri"/>
          <w:color w:val="555555"/>
          <w:sz w:val="18"/>
          <w:szCs w:val="18"/>
        </w:rPr>
        <w:t xml:space="preserve">Eyad Elshimy  |  Supervisors: Dr. Marwa Zamzam, Dr. Ahmed Maghawry  |  GIU</w:t>
      </w:r>
    </w:p>
    <w:p>
      <w:pPr>
        <w:pStyle w:val="Heading2"/>
        <w:spacing w:after="30" w:before="100"/>
      </w:pPr>
      <w:r>
        <w:rPr>
          <w:rFonts w:ascii="Calibri" w:cs="Calibri" w:eastAsia="Calibri" w:hAnsi="Calibri"/>
          <w:b/>
          <w:bCs/>
          <w:color w:val="1F4E78"/>
          <w:sz w:val="20"/>
          <w:szCs w:val="20"/>
        </w:rPr>
        <w:t xml:space="preserve">Problem</w:t>
      </w:r>
    </w:p>
    <w:p>
      <w:pPr>
        <w:spacing w:after="40"/>
      </w:pPr>
      <w:r>
        <w:rPr>
          <w:rFonts w:ascii="Calibri" w:cs="Calibri" w:eastAsia="Calibri" w:hAnsi="Calibri"/>
          <w:sz w:val="18"/>
          <w:szCs w:val="18"/>
        </w:rPr>
        <w:t xml:space="preserve">Existing empirical studies show that LLM-generated code frequently contains security vulnerabilities, and that a model's functional correctness does not predict its security quality. However, every reviewed study stops at DETECTION: static analysis (Sabra et al.) or multi-tool/LLM-judge detection (LLM-CSEC, SafeGenBench) flags code as containing a CWE-matching pattern, but none confirm that the specific flagged code is actually exploitable. LLM-CSEC's CWE-to-CVE mapping argues a vulnerability class has historically been dangerous, not that this exact generated snippet is exploitable now. This leaves an open question: how much of what static/LLM detection flags as 'vulnerable' AI-generated code is a real, working security flaw versus a false positive or a theoretical pattern match?</w:t>
      </w:r>
    </w:p>
    <w:p>
      <w:pPr>
        <w:pStyle w:val="Heading2"/>
        <w:spacing w:after="30" w:before="100"/>
      </w:pPr>
      <w:r>
        <w:rPr>
          <w:rFonts w:ascii="Calibri" w:cs="Calibri" w:eastAsia="Calibri" w:hAnsi="Calibri"/>
          <w:b/>
          <w:bCs/>
          <w:color w:val="1F4E78"/>
          <w:sz w:val="20"/>
          <w:szCs w:val="20"/>
        </w:rPr>
        <w:t xml:space="preserve">Main Objective(s)</w:t>
      </w:r>
    </w:p>
    <w:p>
      <w:pPr>
        <w:pStyle w:val="ListParagraph"/>
        <w:numPr>
          <w:ilvl w:val="0"/>
          <w:numId w:val="1"/>
        </w:numPr>
        <w:spacing w:after="10"/>
      </w:pPr>
      <w:r>
        <w:rPr>
          <w:rFonts w:ascii="Calibri" w:cs="Calibri" w:eastAsia="Calibri" w:hAnsi="Calibri"/>
          <w:sz w:val="18"/>
          <w:szCs w:val="18"/>
        </w:rPr>
        <w:t xml:space="preserve">Build a detection pipeline that identifies candidate vulnerabilities in LLM-generated code using multiple detection methods (informed by SafeGenBench's dual-judge design), across a set of current LLMs.</w:t>
      </w:r>
    </w:p>
    <w:p>
      <w:pPr>
        <w:pStyle w:val="ListParagraph"/>
        <w:numPr>
          <w:ilvl w:val="0"/>
          <w:numId w:val="1"/>
        </w:numPr>
        <w:spacing w:after="10"/>
      </w:pPr>
      <w:r>
        <w:rPr>
          <w:rFonts w:ascii="Calibri" w:cs="Calibri" w:eastAsia="Calibri" w:hAnsi="Calibri"/>
          <w:sz w:val="18"/>
          <w:szCs w:val="18"/>
        </w:rPr>
        <w:t xml:space="preserve">For a scoped set of high-impact, mechanically testable CWE categories (e.g. SQL injection, command injection, path traversal), go beyond detection to confirm exploitability with scripted proof-of-concept tests.</w:t>
      </w:r>
    </w:p>
    <w:p>
      <w:pPr>
        <w:pStyle w:val="ListParagraph"/>
        <w:numPr>
          <w:ilvl w:val="0"/>
          <w:numId w:val="1"/>
        </w:numPr>
        <w:spacing w:after="10"/>
      </w:pPr>
      <w:r>
        <w:rPr>
          <w:rFonts w:ascii="Calibri" w:cs="Calibri" w:eastAsia="Calibri" w:hAnsi="Calibri"/>
          <w:sz w:val="18"/>
          <w:szCs w:val="18"/>
        </w:rPr>
        <w:t xml:space="preserve">Quantify the gap between 'detected' and 'confirmed-exploitable' vulnerability rates, to assess how much detection-only benchmarks may over- or under-state real risk.</w:t>
      </w:r>
    </w:p>
    <w:p>
      <w:pPr>
        <w:pStyle w:val="Heading2"/>
        <w:spacing w:after="30" w:before="100"/>
      </w:pPr>
      <w:r>
        <w:rPr>
          <w:rFonts w:ascii="Calibri" w:cs="Calibri" w:eastAsia="Calibri" w:hAnsi="Calibri"/>
          <w:b/>
          <w:bCs/>
          <w:color w:val="1F4E78"/>
          <w:sz w:val="20"/>
          <w:szCs w:val="20"/>
        </w:rPr>
        <w:t xml:space="preserve">Proposed Direction (from Literature Review)</w:t>
      </w:r>
    </w:p>
    <w:p>
      <w:pPr>
        <w:spacing w:after="40"/>
      </w:pPr>
      <w:r>
        <w:rPr>
          <w:rFonts w:ascii="Calibri" w:cs="Calibri" w:eastAsia="Calibri" w:hAnsi="Calibri"/>
          <w:sz w:val="18"/>
          <w:szCs w:val="18"/>
        </w:rPr>
        <w:t xml:space="preserve">All three reviewed papers converge on the same boundary. Sabra et al. show pass rate does not predict security but only use generic, single-tool static analysis (SonarQube). LLM-CSEC uses 3 SAST tools that barely agree (zero CWEs flagged by all three) and maps CWEs to real CVE counts to argue severity, but never tests the generated code itself. SafeGenBench formalizes the detection-reliability problem with a dual-judge (SAST + LLM) system, finding the two methods agree only 61% of the time -- yet still stops at detection, a limitation the authors state directly. My thesis proposes the next step: adding an exploit-confirmation stage after multi-method detection, scoped to a small set of injection-class CWEs that are mechanically straightforward to test (craft an input, check whether it triggers attacker-controlled behavior).</w:t>
      </w:r>
    </w:p>
    <w:p>
      <w:pPr>
        <w:pStyle w:val="Heading2"/>
        <w:spacing w:after="30" w:before="100"/>
      </w:pPr>
      <w:r>
        <w:rPr>
          <w:rFonts w:ascii="Calibri" w:cs="Calibri" w:eastAsia="Calibri" w:hAnsi="Calibri"/>
          <w:b/>
          <w:bCs/>
          <w:color w:val="1F4E78"/>
          <w:sz w:val="20"/>
          <w:szCs w:val="20"/>
        </w:rPr>
        <w:t xml:space="preserve">Main Tasks / Methodology</w:t>
      </w:r>
    </w:p>
    <w:p>
      <w:pPr>
        <w:pStyle w:val="ListParagraph"/>
        <w:numPr>
          <w:ilvl w:val="0"/>
          <w:numId w:val="1"/>
        </w:numPr>
        <w:spacing w:after="10"/>
      </w:pPr>
      <w:r>
        <w:rPr>
          <w:rFonts w:ascii="Calibri" w:cs="Calibri" w:eastAsia="Calibri" w:hAnsi="Calibri"/>
          <w:sz w:val="18"/>
          <w:szCs w:val="18"/>
        </w:rPr>
        <w:t xml:space="preserve">Select LLMs to evaluate (mix of frontier commercial and open-source models, following Sabra et al./SafeGenBench precedent).</w:t>
      </w:r>
    </w:p>
    <w:p>
      <w:pPr>
        <w:pStyle w:val="ListParagraph"/>
        <w:numPr>
          <w:ilvl w:val="0"/>
          <w:numId w:val="1"/>
        </w:numPr>
        <w:spacing w:after="10"/>
      </w:pPr>
      <w:r>
        <w:rPr>
          <w:rFonts w:ascii="Calibri" w:cs="Calibri" w:eastAsia="Calibri" w:hAnsi="Calibri"/>
          <w:sz w:val="18"/>
          <w:szCs w:val="18"/>
        </w:rPr>
        <w:t xml:space="preserve">Build/adapt a CWE-derived prompt set focused on 2-3 injection-class vulnerability categories (SQLi, command injection, path traversal), following LLM-CSEC/SafeGenBench's CWE-driven prompt methodology.</w:t>
      </w:r>
    </w:p>
    <w:p>
      <w:pPr>
        <w:pStyle w:val="ListParagraph"/>
        <w:numPr>
          <w:ilvl w:val="0"/>
          <w:numId w:val="1"/>
        </w:numPr>
        <w:spacing w:after="10"/>
      </w:pPr>
      <w:r>
        <w:rPr>
          <w:rFonts w:ascii="Calibri" w:cs="Calibri" w:eastAsia="Calibri" w:hAnsi="Calibri"/>
          <w:sz w:val="18"/>
          <w:szCs w:val="18"/>
        </w:rPr>
        <w:t xml:space="preserve">Generate code from each model under controlled, reproducible conditions (fixed prompts, temperature).</w:t>
      </w:r>
    </w:p>
    <w:p>
      <w:pPr>
        <w:pStyle w:val="ListParagraph"/>
        <w:numPr>
          <w:ilvl w:val="0"/>
          <w:numId w:val="1"/>
        </w:numPr>
        <w:spacing w:after="10"/>
      </w:pPr>
      <w:r>
        <w:rPr>
          <w:rFonts w:ascii="Calibri" w:cs="Calibri" w:eastAsia="Calibri" w:hAnsi="Calibri"/>
          <w:sz w:val="18"/>
          <w:szCs w:val="18"/>
        </w:rPr>
        <w:t xml:space="preserve">Stage 1 -- Detection: run static analysis (CodeQL/Semgrep) and, where useful, an LLM-judge, to flag candidate vulnerabilities and map them to CWE categories.</w:t>
      </w:r>
    </w:p>
    <w:p>
      <w:pPr>
        <w:pStyle w:val="ListParagraph"/>
        <w:numPr>
          <w:ilvl w:val="0"/>
          <w:numId w:val="1"/>
        </w:numPr>
        <w:spacing w:after="10"/>
      </w:pPr>
      <w:r>
        <w:rPr>
          <w:rFonts w:ascii="Calibri" w:cs="Calibri" w:eastAsia="Calibri" w:hAnsi="Calibri"/>
          <w:sz w:val="18"/>
          <w:szCs w:val="18"/>
        </w:rPr>
        <w:t xml:space="preserve">Stage 2 -- Exploit Confirmation: for flagged candidates in the chosen CWE categories, write scripted PoC inputs that attempt to trigger the vulnerability against the generated code, and record a binary confirmed-exploitable / not-confirmed result.</w:t>
      </w:r>
    </w:p>
    <w:p>
      <w:pPr>
        <w:pStyle w:val="ListParagraph"/>
        <w:numPr>
          <w:ilvl w:val="0"/>
          <w:numId w:val="1"/>
        </w:numPr>
        <w:spacing w:after="10"/>
      </w:pPr>
      <w:r>
        <w:rPr>
          <w:rFonts w:ascii="Calibri" w:cs="Calibri" w:eastAsia="Calibri" w:hAnsi="Calibri"/>
          <w:sz w:val="18"/>
          <w:szCs w:val="18"/>
        </w:rPr>
        <w:t xml:space="preserve">Compare 'detected' vs 'confirmed-exploitable' rates across models and CWE categories to quantify the detection-to-exploitability gap.</w:t>
      </w:r>
    </w:p>
    <w:p>
      <w:pPr>
        <w:pStyle w:val="Heading2"/>
        <w:spacing w:after="30" w:before="100"/>
      </w:pPr>
      <w:r>
        <w:rPr>
          <w:rFonts w:ascii="Calibri" w:cs="Calibri" w:eastAsia="Calibri" w:hAnsi="Calibri"/>
          <w:b/>
          <w:bCs/>
          <w:color w:val="1F4E78"/>
          <w:sz w:val="20"/>
          <w:szCs w:val="20"/>
        </w:rPr>
        <w:t xml:space="preserve">Resources, Datasets, Tools &amp; Platforms</w:t>
      </w:r>
    </w:p>
    <w:p>
      <w:pPr>
        <w:pStyle w:val="ListParagraph"/>
        <w:numPr>
          <w:ilvl w:val="0"/>
          <w:numId w:val="1"/>
        </w:numPr>
        <w:spacing w:after="10"/>
      </w:pPr>
      <w:r>
        <w:rPr>
          <w:rFonts w:ascii="Calibri" w:cs="Calibri" w:eastAsia="Calibri" w:hAnsi="Calibri"/>
          <w:sz w:val="18"/>
          <w:szCs w:val="18"/>
        </w:rPr>
        <w:t xml:space="preserve">LLMs: to be finalized -- candidates include current frontier commercial models and comparable open-source models.</w:t>
      </w:r>
    </w:p>
    <w:p>
      <w:pPr>
        <w:pStyle w:val="ListParagraph"/>
        <w:numPr>
          <w:ilvl w:val="0"/>
          <w:numId w:val="1"/>
        </w:numPr>
        <w:spacing w:after="10"/>
      </w:pPr>
      <w:r>
        <w:rPr>
          <w:rFonts w:ascii="Calibri" w:cs="Calibri" w:eastAsia="Calibri" w:hAnsi="Calibri"/>
          <w:sz w:val="18"/>
          <w:szCs w:val="18"/>
        </w:rPr>
        <w:t xml:space="preserve">Detection: CodeQL and/or Semgrep for static analysis; optionally an LLM-judge for semantic detection, following SafeGenBench's dual-judge pattern.</w:t>
      </w:r>
    </w:p>
    <w:p>
      <w:pPr>
        <w:pStyle w:val="ListParagraph"/>
        <w:numPr>
          <w:ilvl w:val="0"/>
          <w:numId w:val="1"/>
        </w:numPr>
        <w:spacing w:after="10"/>
      </w:pPr>
      <w:r>
        <w:rPr>
          <w:rFonts w:ascii="Calibri" w:cs="Calibri" w:eastAsia="Calibri" w:hAnsi="Calibri"/>
          <w:sz w:val="18"/>
          <w:szCs w:val="18"/>
        </w:rPr>
        <w:t xml:space="preserve">Exploit confirmation: isolated/sandboxed execution environment for running generated code safely; scripted PoC harnesses per CWE category (e.g. crafted SQL/command-injection payloads).</w:t>
      </w:r>
    </w:p>
    <w:p>
      <w:pPr>
        <w:pStyle w:val="ListParagraph"/>
        <w:numPr>
          <w:ilvl w:val="0"/>
          <w:numId w:val="1"/>
        </w:numPr>
        <w:spacing w:after="10"/>
      </w:pPr>
      <w:r>
        <w:rPr>
          <w:rFonts w:ascii="Calibri" w:cs="Calibri" w:eastAsia="Calibri" w:hAnsi="Calibri"/>
          <w:sz w:val="18"/>
          <w:szCs w:val="18"/>
        </w:rPr>
        <w:t xml:space="preserve">CWE/CVE reference data: MITRE CWE database, NVD, following LLM-CSEC's mapping approach.</w:t>
      </w:r>
    </w:p>
    <w:p>
      <w:pPr>
        <w:pStyle w:val="ListParagraph"/>
        <w:numPr>
          <w:ilvl w:val="0"/>
          <w:numId w:val="1"/>
        </w:numPr>
        <w:spacing w:after="10"/>
      </w:pPr>
      <w:r>
        <w:rPr>
          <w:rFonts w:ascii="Calibri" w:cs="Calibri" w:eastAsia="Calibri" w:hAnsi="Calibri"/>
          <w:sz w:val="18"/>
          <w:szCs w:val="18"/>
        </w:rPr>
        <w:t xml:space="preserve">Development/orchestration: Python for the generation, detection, and exploit-confirmation pipeline.</w:t>
      </w:r>
    </w:p>
    <w:p>
      <w:pPr>
        <w:pStyle w:val="ListParagraph"/>
        <w:numPr>
          <w:ilvl w:val="0"/>
          <w:numId w:val="1"/>
        </w:numPr>
        <w:spacing w:after="10"/>
      </w:pPr>
      <w:r>
        <w:rPr>
          <w:rFonts w:ascii="Calibri" w:cs="Calibri" w:eastAsia="Calibri" w:hAnsi="Calibri"/>
          <w:sz w:val="18"/>
          <w:szCs w:val="18"/>
        </w:rPr>
        <w:t xml:space="preserve">Co-supervision context with Cyshield may inform tool selection or provide access to additional security tooling/data.</w:t>
      </w:r>
    </w:p>
    <w:p>
      <w:pPr>
        <w:pStyle w:val="Heading2"/>
        <w:spacing w:after="30" w:before="100"/>
      </w:pPr>
      <w:r>
        <w:rPr>
          <w:rFonts w:ascii="Calibri" w:cs="Calibri" w:eastAsia="Calibri" w:hAnsi="Calibri"/>
          <w:b/>
          <w:bCs/>
          <w:color w:val="1F4E78"/>
          <w:sz w:val="20"/>
          <w:szCs w:val="20"/>
        </w:rPr>
        <w:t xml:space="preserve">Evaluation Plan</w:t>
      </w:r>
    </w:p>
    <w:p>
      <w:pPr>
        <w:spacing w:after="40"/>
      </w:pPr>
      <w:r>
        <w:rPr>
          <w:rFonts w:ascii="Calibri" w:cs="Calibri" w:eastAsia="Calibri" w:hAnsi="Calibri"/>
          <w:sz w:val="18"/>
          <w:szCs w:val="18"/>
        </w:rPr>
        <w:t xml:space="preserve">Results will be evaluated quantitatively at two levels: (1) detection-level -- vulnerability counts and density per model/CWE category from the static/LLM-judge stage; (2) exploitability-level -- confirmed-exploitable rate as a fraction of detected candidates per model/CWE category, directly quantifying the false-positive/theoretical-risk gap that prior work leaves open. Where the exploit-confirmation scope allows, results will also be compared across the chosen CWE categories to see whether the detection-to-exploitability gap is consistent or varies by vulnerability type.</w:t>
      </w:r>
    </w:p>
    <w:p>
      <w:pPr>
        <w:pStyle w:val="Heading2"/>
        <w:spacing w:after="30" w:before="100"/>
      </w:pPr>
      <w:r>
        <w:rPr>
          <w:rFonts w:ascii="Calibri" w:cs="Calibri" w:eastAsia="Calibri" w:hAnsi="Calibri"/>
          <w:b/>
          <w:bCs/>
          <w:color w:val="1F4E78"/>
          <w:sz w:val="20"/>
          <w:szCs w:val="20"/>
        </w:rPr>
        <w:t xml:space="preserve">Immediate Next Steps</w:t>
      </w:r>
    </w:p>
    <w:p>
      <w:pPr>
        <w:pStyle w:val="ListParagraph"/>
        <w:numPr>
          <w:ilvl w:val="0"/>
          <w:numId w:val="1"/>
        </w:numPr>
        <w:spacing w:after="10"/>
      </w:pPr>
      <w:r>
        <w:rPr>
          <w:rFonts w:ascii="Calibri" w:cs="Calibri" w:eastAsia="Calibri" w:hAnsi="Calibri"/>
          <w:sz w:val="18"/>
          <w:szCs w:val="18"/>
        </w:rPr>
        <w:t xml:space="preserve">Bring this scoped direction to Marwa/Ahmed and agree on a precise definition of 'confirmed exploitable' for the thesis before building anything.</w:t>
      </w:r>
    </w:p>
    <w:p>
      <w:pPr>
        <w:pStyle w:val="ListParagraph"/>
        <w:numPr>
          <w:ilvl w:val="0"/>
          <w:numId w:val="1"/>
        </w:numPr>
        <w:spacing w:after="10"/>
      </w:pPr>
      <w:r>
        <w:rPr>
          <w:rFonts w:ascii="Calibri" w:cs="Calibri" w:eastAsia="Calibri" w:hAnsi="Calibri"/>
          <w:sz w:val="18"/>
          <w:szCs w:val="18"/>
        </w:rPr>
        <w:t xml:space="preserve">Finalize the shortlist of LLMs, the CWE categories in scope, and the detection tool(s) to use.</w:t>
      </w:r>
    </w:p>
    <w:p>
      <w:pPr>
        <w:pStyle w:val="ListParagraph"/>
        <w:numPr>
          <w:ilvl w:val="0"/>
          <w:numId w:val="1"/>
        </w:numPr>
        <w:spacing w:after="10"/>
      </w:pPr>
      <w:r>
        <w:rPr>
          <w:rFonts w:ascii="Calibri" w:cs="Calibri" w:eastAsia="Calibri" w:hAnsi="Calibri"/>
          <w:sz w:val="18"/>
          <w:szCs w:val="18"/>
        </w:rPr>
        <w:t xml:space="preserve">Set up the Overleaf Proposal and Thesis projects and share editing access as required.</w:t>
      </w:r>
    </w:p>
    <w:p>
      <w:pPr>
        <w:pStyle w:val="ListParagraph"/>
        <w:numPr>
          <w:ilvl w:val="0"/>
          <w:numId w:val="1"/>
        </w:numPr>
        <w:spacing w:after="10"/>
      </w:pPr>
      <w:r>
        <w:rPr>
          <w:rFonts w:ascii="Calibri" w:cs="Calibri" w:eastAsia="Calibri" w:hAnsi="Calibri"/>
          <w:sz w:val="18"/>
          <w:szCs w:val="18"/>
        </w:rPr>
        <w:t xml:space="preserve">Draft the full thesis proposal (title, aim &amp; motivation, methods, expected outcome, timeline), with the detection pipeline scoped as a standalone deliverable in case the exploit-confirmation stage needs to be trimmed under time pressure.</w:t>
      </w:r>
    </w:p>
    <w:sectPr>
      <w:pgSz w:w="11906" w:h="16838" w:orient="portrait"/>
      <w:pgMar w:top="500" w:right="850" w:bottom="5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2026-09-19T17:26:37.777Z</dcterms:created>
  <dcterms:modified xsi:type="dcterms:W3CDTF">2026-09-19T17:26:37.786Z</dcterms:modified>
</cp:coreProperties>
</file>

<file path=docProps/custom.xml><?xml version="1.0" encoding="utf-8"?>
<Properties xmlns="http://schemas.openxmlformats.org/officeDocument/2006/custom-properties" xmlns:vt="http://schemas.openxmlformats.org/officeDocument/2006/docPropsVTypes"/>
</file>