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SECURITY OPERATIONS</w:t>
      </w:r>
    </w:p>
    <w:p>
      <w:pPr>
        <w:pStyle w:val="Title"/>
        <w:jc w:val="left"/>
      </w:pPr>
      <w:r>
        <w:t>ENDPOINT ASSURANCE REPORT</w:t>
      </w:r>
    </w:p>
    <w:p>
      <w:r>
        <w:t>Evidence-led assessment of assets, findings, indicators and remediation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SCOPE</w:t>
              <w:br/>
              <w:t>Client Only</w:t>
            </w:r>
          </w:p>
        </w:tc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SOURCE</w:t>
              <w:br/>
              <w:t>Tracking dataset</w:t>
            </w:r>
          </w:p>
        </w:tc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OUTPUT</w:t>
              <w:br/>
              <w:t>Validated DOCX</w:t>
            </w:r>
          </w:p>
        </w:tc>
      </w:tr>
    </w:tbl>
    <w:p/>
    <w:p>
      <w:pPr>
        <w:keepLines/>
      </w:pPr>
      <w:r>
        <w:t>{{REPORT_TITLE}}</w:t>
      </w:r>
    </w:p>
    <w:p>
      <w:pPr>
        <w:pStyle w:val="Heading1"/>
      </w:pPr>
      <w:r>
        <w:t>1. Executive context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Overview"/>
        <w:tag w:val="overview"/>
      </w:sdtPr>
      <w:sdtContent>
        <w:p>
          <w:r>
            <w:t>Mapped content: overview</w:t>
          </w:r>
        </w:p>
      </w:sdtContent>
    </w:sdt>
    <w:p>
      <w:pPr>
        <w:pStyle w:val="Heading1"/>
      </w:pPr>
      <w:r>
        <w:t>2. Endpoint estate</w:t>
      </w:r>
    </w:p>
    <w:p>
      <w:pPr>
        <w:pStyle w:val="Caption"/>
      </w:pPr>
      <w:r>
        <w:t>This section is populated from the normalized, evidence-traceable report snapshot.</w:t>
      </w:r>
    </w:p>
    <w:p>
      <w:bookmarkStart w:id="1" w:name="client_inventory"/>
      <w:r>
        <w:t>Mapped content: inventory.client</w:t>
      </w:r>
      <w:bookmarkEnd w:id="1"/>
    </w:p>
    <w:p>
      <w:pPr>
        <w:pStyle w:val="Heading1"/>
      </w:pPr>
      <w:r>
        <w:t>3. Endpoint assessment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Client Results"/>
        <w:tag w:val="client_results"/>
      </w:sdtPr>
      <w:sdtContent>
        <w:p>
          <w:r>
            <w:t>Mapped content: results.client</w:t>
          </w:r>
        </w:p>
      </w:sdtContent>
    </w:sdt>
    <w:p>
      <w:pPr>
        <w:pStyle w:val="Heading1"/>
      </w:pPr>
      <w:r>
        <w:t>4. Investigation workspace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{{INVESTIGATION}}</w:t>
      </w:r>
    </w:p>
    <w:p>
      <w:pPr>
        <w:pStyle w:val="Heading1"/>
      </w:pPr>
      <w:r>
        <w:t>5. Remediation register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Remediation"/>
        <w:tag w:val="remediation"/>
      </w:sdtPr>
      <w:sdtContent>
        <w:p>
          <w:r>
            <w:t>Mapped content: remediation</w:t>
          </w:r>
        </w:p>
      </w:sdtContent>
    </w:sdt>
    <w:p>
      <w:pPr>
        <w:pStyle w:val="Heading1"/>
      </w:pPr>
      <w:r>
        <w:t>6. Indicator register</w:t>
      </w:r>
    </w:p>
    <w:p>
      <w:pPr>
        <w:pStyle w:val="Caption"/>
      </w:pPr>
      <w:r>
        <w:t>This section is populated from the normalized, evidence-traceable report snapshot.</w:t>
      </w:r>
    </w:p>
    <w:p>
      <w:bookmarkStart w:id="2" w:name="ioc_register"/>
      <w:r>
        <w:t>Mapped content: ioc</w:t>
      </w:r>
      <w:bookmarkEnd w:id="2"/>
    </w:p>
    <w:p>
      <w:pPr>
        <w:pStyle w:val="Heading1"/>
      </w:pPr>
      <w:r>
        <w:t>7. Recommendations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{{RECOMMENDATIONS}}</w:t>
      </w:r>
    </w:p>
    <w:p>
      <w:pPr>
        <w:sectPr>
          <w:headerReference w:type="default" r:id="rId9"/>
          <w:footerReference w:type="default" r:id="rId10"/>
          <w:pgSz w:w="12240" w:h="15840"/>
          <w:pgMar w:top="1296" w:right="1181" w:bottom="1008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Appendix — Review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9"/>
        <w:gridCol w:w="3369"/>
        <w:gridCol w:w="3369"/>
        <w:gridCol w:w="3369"/>
      </w:tblGrid>
      <w:tr>
        <w:tc>
          <w:tcPr>
            <w:tcW w:type="dxa" w:w="3369"/>
            <w:shd w:fill="EDE5F5"/>
          </w:tcPr>
          <w:p>
            <w:r>
              <w:t>Owner</w:t>
            </w:r>
          </w:p>
        </w:tc>
        <w:tc>
          <w:tcPr>
            <w:tcW w:type="dxa" w:w="3369"/>
            <w:shd w:fill="EDE5F5"/>
          </w:tcPr>
          <w:p>
            <w:r>
              <w:t>Status</w:t>
            </w:r>
          </w:p>
        </w:tc>
        <w:tc>
          <w:tcPr>
            <w:tcW w:type="dxa" w:w="3369"/>
            <w:shd w:fill="EDE5F5"/>
          </w:tcPr>
          <w:p>
            <w:r>
              <w:t>Evidence</w:t>
            </w:r>
          </w:p>
        </w:tc>
        <w:tc>
          <w:tcPr>
            <w:tcW w:type="dxa" w:w="3369"/>
            <w:shd w:fill="EDE5F5"/>
          </w:tcPr>
          <w:p>
            <w:r>
              <w:t>Decision</w:t>
            </w:r>
          </w:p>
        </w:tc>
      </w:tr>
      <w:tr>
        <w:tc>
          <w:tcPr>
            <w:tcW w:type="dxa" w:w="3369"/>
          </w:tcPr>
          <w:p>
            <w:r>
              <w:t>Reserved for analyst review</w:t>
            </w:r>
          </w:p>
        </w:tc>
        <w:tc>
          <w:tcPr>
            <w:tcW w:type="dxa" w:w="3369"/>
          </w:tcPr>
          <w:p>
            <w:r>
              <w:t>Reserved for analyst review</w:t>
            </w:r>
          </w:p>
        </w:tc>
        <w:tc>
          <w:tcPr>
            <w:tcW w:type="dxa" w:w="3369"/>
          </w:tcPr>
          <w:p>
            <w:r>
              <w:t>Reserved for analyst review</w:t>
            </w:r>
          </w:p>
        </w:tc>
        <w:tc>
          <w:tcPr>
            <w:tcW w:type="dxa" w:w="3369"/>
          </w:tcPr>
          <w:p>
            <w:r>
              <w:t>Reserved for analyst review</w:t>
            </w:r>
          </w:p>
        </w:tc>
      </w:tr>
      <w:tr>
        <w:tc>
          <w:tcPr>
            <w:tcW w:type="dxa" w:w="3369"/>
          </w:tcPr>
          <w:p>
            <w:r>
              <w:t>Reserved for analyst review</w:t>
            </w:r>
          </w:p>
        </w:tc>
        <w:tc>
          <w:tcPr>
            <w:tcW w:type="dxa" w:w="3369"/>
          </w:tcPr>
          <w:p>
            <w:r>
              <w:t>Reserved for analyst review</w:t>
            </w:r>
          </w:p>
        </w:tc>
        <w:tc>
          <w:tcPr>
            <w:tcW w:type="dxa" w:w="3369"/>
          </w:tcPr>
          <w:p>
            <w:r>
              <w:t>Reserved for analyst review</w:t>
            </w:r>
          </w:p>
        </w:tc>
        <w:tc>
          <w:tcPr>
            <w:tcW w:type="dxa" w:w="3369"/>
          </w:tcPr>
          <w:p>
            <w:r>
              <w:t>Reserved for analyst review</w:t>
            </w:r>
          </w:p>
        </w:tc>
      </w:tr>
    </w:tbl>
    <w:sectPr w:rsidR="00FC693F" w:rsidRPr="0006063C" w:rsidSect="00034616">
      <w:pgSz w:w="15840" w:h="12240" w:orient="landscape"/>
      <w:pgMar w:top="1296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generated from a validated Template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B3FA0"/>
      </w:rPr>
      <w:t>REPORTER PRO  /  CONTROLLED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left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left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ind w:left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ENDPOINT ASSURANCE REPORT</dc:title>
  <dc:subject>Reporter Pro Template Studio synthetic pilot fixture</dc:subject>
  <dc:creator>Reporter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