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Научно обоснованные тесты для профориентации подростков</w:t>
      </w:r>
    </w:p>
    <w:p>
      <w:pPr>
        <w:jc w:val="center"/>
      </w:pPr>
      <w:r>
        <w:rPr>
          <w:i/>
          <w:sz w:val="22"/>
        </w:rPr>
        <w:t>Фокус: скиллы и способности, интересы, ценности, мотивации</w:t>
      </w:r>
    </w:p>
    <w:p>
      <w:pPr>
        <w:spacing w:after="160"/>
      </w:pPr>
      <w:r>
        <w:rPr>
          <w:b/>
        </w:rPr>
        <w:t>Оптимально использовать не один «профориентационный тест», а батарею из 6–8 инструментов, где каждый отвечает за отдельный слой: интересы, способности/скиллы, ценности, мотивацию и только затем — общий профиль.</w:t>
      </w:r>
    </w:p>
    <w:p>
      <w:pPr>
        <w:pStyle w:val="Heading1"/>
        <w:keepNext/>
      </w:pPr>
      <w:r>
        <w:t>Основная батарея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 w:val="true"/>
        </w:trPr>
        <w:tc>
          <w:tcPr>
            <w:tcW w:type="dxa" w:w="181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</w:rPr>
              <w:t>Блок</w:t>
            </w:r>
          </w:p>
        </w:tc>
        <w:tc>
          <w:tcPr>
            <w:tcW w:type="dxa" w:w="2835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</w:rPr>
              <w:t>Тест</w:t>
            </w:r>
          </w:p>
        </w:tc>
        <w:tc>
          <w:tcPr>
            <w:tcW w:type="dxa" w:w="510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</w:rPr>
              <w:t>Что показывает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Интересы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O*NET Interest Profiler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Профиль профессиональных интересов по модели RIASEC: Realistic, Investigative, Artistic, Social, Enterprising, Conventional. Показывает не «кем стать», а какие виды деятельности подростку действительно интересны. Есть версии на 30 и 60 заданий; психометрические свойства хорошо исследованы.</w:t>
            </w:r>
          </w:p>
          <w:p>
            <w:pPr>
              <w:spacing w:before="60"/>
            </w:pPr>
            <w:r>
              <w:rPr>
                <w:i/>
              </w:rPr>
              <w:t xml:space="preserve">Источник: </w:t>
            </w:r>
            <w:hyperlink r:id="rId9">
              <w:r>
                <w:rPr>
                  <w:color w:val="0563C1"/>
                  <w:u w:val="single"/>
                </w:rPr>
                <w:t>https://www.onetcenter.org/reports/IP_RVS.html</w:t>
              </w:r>
            </w:hyperlink>
          </w:p>
        </w:tc>
      </w:tr>
      <w:tr>
        <w:trPr>
          <w:cantSplit w:val="true"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Интересы, углублённо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Strong Interest Inventory (SII)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Более детальная альтернатива O*NET. Кроме шести RIASEC-направлений показывает конкретные сферы интересов: техника, медицина, предпринимательство, искусство, наука, обучение людей и др. Целесообразно использовать вместо O*NET, если есть доступ к лицензированной методике, а не одновременно с ним.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Способности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Differential Aptitude Tests — DAT / DAT Next Generation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Один из наиболее полезных тестов именно для этой задачи. Проверяет не мнение подростка о себе, а выполнение заданий: вербальное, числовое, абстрактное и пространственное мышление, скорость и точность обработки информации.</w:t>
            </w:r>
          </w:p>
          <w:p>
            <w:pPr>
              <w:spacing w:before="60"/>
            </w:pPr>
            <w:r>
              <w:rPr>
                <w:i/>
              </w:rPr>
              <w:t xml:space="preserve">Источник: </w:t>
            </w:r>
            <w:hyperlink r:id="rId10">
              <w:r>
                <w:rPr>
                  <w:color w:val="0563C1"/>
                  <w:u w:val="single"/>
                </w:rPr>
                <w:t>https://www.pearsonclinical.fr/dat-next-gen</w:t>
              </w:r>
            </w:hyperlink>
          </w:p>
        </w:tc>
      </w:tr>
      <w:tr>
        <w:trPr>
          <w:cantSplit w:val="true"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Скиллы / самоэффективность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Expanded Skills Confidence Inventory — E-SCI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Показывает, в каких типах деятельности подросток чувствует себя компетентным: письмо, техника, технологии, публичные выступления, творческая деятельность и др. Это важно отличать от реальной способности: подросток может быть способен к математике, но совершенно не верить в себя в этой области. Совместное использование интересов и самоэффективности информативнее каждого показателя отдельно.</w:t>
            </w:r>
          </w:p>
          <w:p>
            <w:pPr>
              <w:spacing w:before="60"/>
            </w:pPr>
            <w:r>
              <w:rPr>
                <w:i/>
              </w:rPr>
              <w:t xml:space="preserve">Источник: </w:t>
            </w:r>
            <w:hyperlink r:id="rId11">
              <w:r>
                <w:rPr>
                  <w:color w:val="0563C1"/>
                  <w:u w:val="single"/>
                </w:rPr>
                <w:t>https://www.sciencedirect.com/science/article/abs/pii/S0001879102000349</w:t>
              </w:r>
            </w:hyperlink>
          </w:p>
        </w:tc>
      </w:tr>
      <w:tr>
        <w:trPr>
          <w:cantSplit w:val="true"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Ценности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Portrait Values Questionnaire — PVQ / PVQ-RR, Шварц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Показывает, что для человека важно вообще: самостоятельность, достижения, безопасность, новизна, помощь другим, влияние, традиции и т. д. Это не только рабочие ценности и именно поэтому особенно полезно подросткам, которые ещё плохо представляют реальную работу.</w:t>
            </w:r>
          </w:p>
          <w:p>
            <w:pPr>
              <w:spacing w:before="60"/>
            </w:pPr>
            <w:r>
              <w:rPr>
                <w:i/>
              </w:rPr>
              <w:t xml:space="preserve">Источник: </w:t>
            </w:r>
            <w:hyperlink r:id="rId12">
              <w:r>
                <w:rPr>
                  <w:color w:val="0563C1"/>
                  <w:u w:val="single"/>
                </w:rPr>
                <w:t>https://journals.sagepub.com/doi/10.1177/0022022101032005001</w:t>
              </w:r>
            </w:hyperlink>
          </w:p>
        </w:tc>
      </w:tr>
      <w:tr>
        <w:trPr>
          <w:cantSplit w:val="true"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Мотивация, 12–14 лет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Academic Self-Regulation Questionnaire — SRQ-A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Методика на базе Self-Determination Theory. Показывает, почему подросток что-то делает: потому что интересно; считает это важным для себя; действует из чувства долга/вины; из-за оценок, давления или наказания. Помогает отделить собственную мотивацию подростка от внешней.</w:t>
            </w:r>
          </w:p>
          <w:p>
            <w:pPr>
              <w:spacing w:before="60"/>
            </w:pPr>
            <w:r>
              <w:rPr>
                <w:i/>
              </w:rPr>
              <w:t xml:space="preserve">Источник: </w:t>
            </w:r>
            <w:hyperlink r:id="rId13">
              <w:r>
                <w:rPr>
                  <w:color w:val="0563C1"/>
                  <w:u w:val="single"/>
                </w:rPr>
                <w:t>https://selfdeterminationtheory.org/self-regulation-questionnaires/</w:t>
              </w:r>
            </w:hyperlink>
          </w:p>
        </w:tc>
      </w:tr>
      <w:tr>
        <w:trPr>
          <w:cantSplit w:val="true"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Мотивация, старшие подростки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Academic Motivation Scale — AMS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Для примерно 15–18 лет. Более подробно разделяет внутреннюю мотивацию, разные виды внешней мотивации и амотивацию. Валидировалась в том числе на старшеклассниках.</w:t>
            </w:r>
          </w:p>
          <w:p>
            <w:pPr>
              <w:spacing w:before="60"/>
            </w:pPr>
            <w:r>
              <w:rPr>
                <w:i/>
              </w:rPr>
              <w:t xml:space="preserve">Источник: </w:t>
            </w:r>
            <w:hyperlink r:id="rId14">
              <w:r>
                <w:rPr>
                  <w:color w:val="0563C1"/>
                  <w:u w:val="single"/>
                </w:rPr>
                <w:t>https://pmc.ncbi.nlm.nih.gov/articles/PMC3414248/</w:t>
              </w:r>
            </w:hyperlink>
          </w:p>
        </w:tc>
      </w:tr>
      <w:tr>
        <w:trPr>
          <w:cantSplit w:val="true"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Готовность строить свой путь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Career Adapt-Abilities Scale — CAAS</w:t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Не говорит, кем стать. Измеряет четыре качества: Concern — думает ли подросток о будущем; Control — чувствует ли, что сам может им управлять; Curiosity — исследует ли варианты; Confidence — верит ли, что справится.</w:t>
            </w:r>
          </w:p>
          <w:p>
            <w:pPr>
              <w:spacing w:before="60"/>
            </w:pPr>
            <w:r>
              <w:rPr>
                <w:i/>
              </w:rPr>
              <w:t xml:space="preserve">Источник: </w:t>
            </w:r>
            <w:hyperlink r:id="rId15">
              <w:r>
                <w:rPr>
                  <w:color w:val="0563C1"/>
                  <w:u w:val="single"/>
                </w:rPr>
                <w:t>https://www.sciencedirect.com/science/article/pii/S0001879114000189</w:t>
              </w:r>
            </w:hyperlink>
          </w:p>
        </w:tc>
      </w:tr>
    </w:tbl>
    <w:p>
      <w:pPr>
        <w:pStyle w:val="Heading1"/>
        <w:keepNext/>
      </w:pPr>
      <w:r>
        <w:t>Вспомогательные тесты</w:t>
      </w:r>
    </w:p>
    <w:p>
      <w:pPr>
        <w:spacing w:before="100" w:after="40"/>
      </w:pPr>
      <w:r>
        <w:rPr>
          <w:b/>
        </w:rPr>
        <w:t>VIA Inventory of Strengths for Youth — VIA Youth</w:t>
      </w:r>
    </w:p>
    <w:p>
      <w:pPr>
        <w:spacing w:after="40"/>
        <w:ind w:left="227"/>
      </w:pPr>
      <w:r>
        <w:t>Для 8–17 лет. Измеряет 24 «сильные стороны характера»: любознательность, креативность, настойчивость, лидерство, командность, саморегуляцию, социальный интеллект и др. Лучше использовать как дополнительный слой, а не как тест способностей.</w:t>
      </w:r>
    </w:p>
    <w:p>
      <w:pPr>
        <w:spacing w:after="100"/>
        <w:ind w:left="227"/>
      </w:pPr>
      <w:r>
        <w:rPr>
          <w:i/>
        </w:rPr>
        <w:t xml:space="preserve">Источник: </w:t>
      </w:r>
      <w:hyperlink r:id="rId16">
        <w:r>
          <w:rPr>
            <w:color w:val="0563C1"/>
            <w:u w:val="single"/>
          </w:rPr>
          <w:t>https://www.viacharacter.org/researchers/assessments</w:t>
        </w:r>
      </w:hyperlink>
    </w:p>
    <w:p>
      <w:pPr>
        <w:spacing w:before="100" w:after="40"/>
      </w:pPr>
      <w:r>
        <w:rPr>
          <w:b/>
        </w:rPr>
        <w:t>Big Five Questionnaire for Children / подростковые версии Big Five</w:t>
      </w:r>
    </w:p>
    <w:p>
      <w:pPr>
        <w:spacing w:after="40"/>
        <w:ind w:left="227"/>
      </w:pPr>
      <w:r>
        <w:t>Дают профиль открытости новому, добросовестности, экстраверсии, доброжелательности и эмоциональной стабильности. Полезны для понимания привычного стиля поведения и рабочей среды, но по Big Five нельзя назначать профессию.</w:t>
      </w:r>
    </w:p>
    <w:p>
      <w:pPr>
        <w:spacing w:after="100"/>
        <w:ind w:left="227"/>
      </w:pPr>
      <w:r>
        <w:rPr>
          <w:i/>
        </w:rPr>
        <w:t xml:space="preserve">Источник: </w:t>
      </w:r>
      <w:hyperlink r:id="rId17">
        <w:r>
          <w:rPr>
            <w:color w:val="0563C1"/>
            <w:u w:val="single"/>
          </w:rPr>
          <w:t>https://pmc.ncbi.nlm.nih.gov/articles/PMC12423744/</w:t>
        </w:r>
      </w:hyperlink>
    </w:p>
    <w:p>
      <w:pPr>
        <w:spacing w:before="100" w:after="40"/>
      </w:pPr>
      <w:r>
        <w:rPr>
          <w:b/>
        </w:rPr>
        <w:t>Career Decision Self-Efficacy Scale — CDSE-SF</w:t>
      </w:r>
    </w:p>
    <w:p>
      <w:pPr>
        <w:spacing w:after="40"/>
        <w:ind w:left="227"/>
      </w:pPr>
      <w:r>
        <w:t>25 вопросов. Проверяет не профессиональные способности, а уверенность подростка в том, что он способен разобраться в себе, найти информацию, выбрать цель, построить план и решить возникшие проблемы. Особенно полезен при состоянии «я вообще не знаю, чего хочу».</w:t>
      </w:r>
    </w:p>
    <w:p>
      <w:pPr>
        <w:spacing w:after="100"/>
        <w:ind w:left="227"/>
      </w:pPr>
      <w:r>
        <w:rPr>
          <w:i/>
        </w:rPr>
        <w:t xml:space="preserve">Источник: </w:t>
      </w:r>
      <w:hyperlink r:id="rId18">
        <w:r>
          <w:rPr>
            <w:color w:val="0563C1"/>
            <w:u w:val="single"/>
          </w:rPr>
          <w:t>https://www.sciencedirect.com/science/article/pii/S000187911200156X</w:t>
        </w:r>
      </w:hyperlink>
    </w:p>
    <w:p>
      <w:pPr>
        <w:spacing w:before="100" w:after="40"/>
      </w:pPr>
      <w:r>
        <w:rPr>
          <w:b/>
        </w:rPr>
        <w:t>Raven’s Standard Progressive Matrices — матрицы Равена</w:t>
      </w:r>
    </w:p>
    <w:p>
      <w:pPr>
        <w:spacing w:after="40"/>
        <w:ind w:left="227"/>
      </w:pPr>
      <w:r>
        <w:t>Объективная оценка невербального абстрактного мышления и способности находить закономерности. Полезна как дополнительная проверка когнитивного потенциала, особенно когда школьные оценки сильно зависят от мотивации или среды. Это не тест профориентации и не полноценный профиль способностей.</w:t>
      </w:r>
    </w:p>
    <w:p>
      <w:pPr>
        <w:spacing w:after="100"/>
        <w:ind w:left="227"/>
      </w:pPr>
      <w:r>
        <w:rPr>
          <w:i/>
        </w:rPr>
        <w:t xml:space="preserve">Источник: </w:t>
      </w:r>
      <w:hyperlink r:id="rId19">
        <w:r>
          <w:rPr>
            <w:color w:val="0563C1"/>
            <w:u w:val="single"/>
          </w:rPr>
          <w:t>https://pmc.ncbi.nlm.nih.gov/articles/PMC10144826/</w:t>
        </w:r>
      </w:hyperlink>
    </w:p>
    <w:p>
      <w:pPr>
        <w:pStyle w:val="Heading1"/>
        <w:keepNext/>
      </w:pPr>
      <w:r>
        <w:t>Оптимальный комплект для подростка 13–17 лет</w:t>
      </w:r>
    </w:p>
    <w:p>
      <w:pPr>
        <w:spacing w:after="60"/>
        <w:ind w:left="227" w:hanging="227"/>
      </w:pPr>
      <w:r>
        <w:rPr>
          <w:b/>
        </w:rPr>
        <w:t>1. O*NET Interest Profiler</w:t>
      </w:r>
      <w:r>
        <w:t xml:space="preserve"> — что интересно.</w:t>
      </w:r>
    </w:p>
    <w:p>
      <w:pPr>
        <w:spacing w:after="60"/>
        <w:ind w:left="227" w:hanging="227"/>
      </w:pPr>
      <w:r>
        <w:rPr>
          <w:b/>
        </w:rPr>
        <w:t>2. DAT</w:t>
      </w:r>
      <w:r>
        <w:t xml:space="preserve"> — что объективно хорошо получается.</w:t>
      </w:r>
    </w:p>
    <w:p>
      <w:pPr>
        <w:spacing w:after="60"/>
        <w:ind w:left="227" w:hanging="227"/>
      </w:pPr>
      <w:r>
        <w:rPr>
          <w:b/>
        </w:rPr>
        <w:t>3. E-SCI</w:t>
      </w:r>
      <w:r>
        <w:t xml:space="preserve"> — в чём подросток сам чувствует уверенность.</w:t>
      </w:r>
    </w:p>
    <w:p>
      <w:pPr>
        <w:spacing w:after="60"/>
        <w:ind w:left="227" w:hanging="227"/>
      </w:pPr>
      <w:r>
        <w:rPr>
          <w:b/>
        </w:rPr>
        <w:t>4. PVQ Шварца</w:t>
      </w:r>
      <w:r>
        <w:t xml:space="preserve"> — что для него важно.</w:t>
      </w:r>
    </w:p>
    <w:p>
      <w:pPr>
        <w:spacing w:after="60"/>
        <w:ind w:left="227" w:hanging="227"/>
      </w:pPr>
      <w:r>
        <w:rPr>
          <w:b/>
        </w:rPr>
        <w:t>5. SRQ-A или AMS в зависимости от возраста</w:t>
      </w:r>
      <w:r>
        <w:t xml:space="preserve"> — почему он действует и учится.</w:t>
      </w:r>
    </w:p>
    <w:p>
      <w:pPr>
        <w:spacing w:after="60"/>
        <w:ind w:left="227" w:hanging="227"/>
      </w:pPr>
      <w:r>
        <w:rPr>
          <w:b/>
        </w:rPr>
        <w:t>6. CAAS</w:t>
      </w:r>
      <w:r>
        <w:t xml:space="preserve"> — насколько он умеет исследовать будущее и делать выбор.</w:t>
      </w:r>
    </w:p>
    <w:p>
      <w:pPr>
        <w:spacing w:after="60"/>
        <w:ind w:left="227" w:hanging="227"/>
      </w:pPr>
      <w:r>
        <w:rPr>
          <w:b/>
        </w:rPr>
        <w:t>7. VIA Youth</w:t>
      </w:r>
      <w:r>
        <w:t xml:space="preserve"> — сильные стороны характера.</w:t>
      </w:r>
    </w:p>
    <w:p>
      <w:pPr>
        <w:spacing w:before="160"/>
      </w:pPr>
      <w:r>
        <w:rPr>
          <w:b/>
        </w:rPr>
        <w:t>Как интерпретировать сочетание результатов</w:t>
      </w:r>
    </w:p>
    <w:p>
      <w:pPr>
        <w:spacing w:after="120"/>
        <w:ind w:left="340" w:right="340"/>
      </w:pPr>
      <w:r>
        <w:rPr>
          <w:i/>
        </w:rPr>
        <w:t>Высокий Investigative-интерес + высокое абстрактное и числовое мышление DAT + ценность самостоятельности + внутренняя мотивация к познанию + высокая любознательность VIA</w:t>
      </w:r>
    </w:p>
    <w:p>
      <w:pPr>
        <w:spacing w:after="160"/>
      </w:pPr>
      <w:r>
        <w:t>Такое сочетание уже даёт содержательный профиль человека. И только после этого имеет смысл смотреть, в каких образовательных направлениях и профессиональных средах такой профиль может реализоваться.</w:t>
      </w:r>
    </w:p>
    <w:p>
      <w:pPr>
        <w:spacing w:before="80"/>
      </w:pPr>
      <w:r>
        <w:rPr>
          <w:b/>
        </w:rPr>
        <w:t xml:space="preserve">Не рекомендуется включать в основную батарею MBTI, соционику, DISC и типологии «гуманитарий/технарь». </w:t>
      </w:r>
      <w:r>
        <w:t>Для задачи доказательной профориентации они дают слишком грубые категории и имеют существенно более слабую научную базу, чем перечисленные выше инструменты.</w:t>
      </w:r>
    </w:p>
    <w:sectPr w:rsidR="00FC693F" w:rsidRPr="0006063C" w:rsidSect="00034616">
      <w:footerReference w:type="default" r:id="rId20"/>
      <w:pgSz w:w="12240" w:h="1584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6"/>
      </w:rPr>
      <w:t>Подборка инструментов для evidence-based профориентации подростков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onetcenter.org/reports/IP_RVS.html" TargetMode="External"/><Relationship Id="rId10" Type="http://schemas.openxmlformats.org/officeDocument/2006/relationships/hyperlink" Target="https://www.pearsonclinical.fr/dat-next-gen" TargetMode="External"/><Relationship Id="rId11" Type="http://schemas.openxmlformats.org/officeDocument/2006/relationships/hyperlink" Target="https://www.sciencedirect.com/science/article/abs/pii/S0001879102000349" TargetMode="External"/><Relationship Id="rId12" Type="http://schemas.openxmlformats.org/officeDocument/2006/relationships/hyperlink" Target="https://journals.sagepub.com/doi/10.1177/0022022101032005001" TargetMode="External"/><Relationship Id="rId13" Type="http://schemas.openxmlformats.org/officeDocument/2006/relationships/hyperlink" Target="https://selfdeterminationtheory.org/self-regulation-questionnaires/" TargetMode="External"/><Relationship Id="rId14" Type="http://schemas.openxmlformats.org/officeDocument/2006/relationships/hyperlink" Target="https://pmc.ncbi.nlm.nih.gov/articles/PMC3414248/" TargetMode="External"/><Relationship Id="rId15" Type="http://schemas.openxmlformats.org/officeDocument/2006/relationships/hyperlink" Target="https://www.sciencedirect.com/science/article/pii/S0001879114000189" TargetMode="External"/><Relationship Id="rId16" Type="http://schemas.openxmlformats.org/officeDocument/2006/relationships/hyperlink" Target="https://www.viacharacter.org/researchers/assessments" TargetMode="External"/><Relationship Id="rId17" Type="http://schemas.openxmlformats.org/officeDocument/2006/relationships/hyperlink" Target="https://pmc.ncbi.nlm.nih.gov/articles/PMC12423744/" TargetMode="External"/><Relationship Id="rId18" Type="http://schemas.openxmlformats.org/officeDocument/2006/relationships/hyperlink" Target="https://www.sciencedirect.com/science/article/pii/S000187911200156X" TargetMode="External"/><Relationship Id="rId19" Type="http://schemas.openxmlformats.org/officeDocument/2006/relationships/hyperlink" Target="https://pmc.ncbi.nlm.nih.gov/articles/PMC10144826/" TargetMode="Externa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