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FAIR Data Innovations Hub — California Medical Innovations Institute (CalMI2)</w:t>
      </w:r>
    </w:p>
    <w:p>
      <w:pPr>
        <w:pStyle w:val="BodyText"/>
      </w:pPr>
      <w:r>
        <w:t xml:space="preserve">Prepared by: James O’Neill</w:t>
      </w:r>
      <w:r>
        <w:br/>
      </w:r>
      <w:r>
        <w:t xml:space="preserve">Date: March 24, 2026</w:t>
      </w:r>
      <w:r>
        <w:br/>
      </w:r>
      <w:r>
        <w:t xml:space="preserve">Status: DRAFT — for team review</w:t>
      </w:r>
    </w:p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ENVISION eye imaging classifier identifies ophthalmic imaging datasets from scientific repository metadata using a SetFit few-shot model. The classifier uses binary classification (EYE_IMAGING vs NEGATIVE) trained on multi-repository data from Zenodo, Figshare, Dryad, Kaggle, and NEI. This plan defines the validation methodology required for publication-grade evidence of classifier performance across six data repositories.</w:t>
      </w:r>
    </w:p>
    <w:bookmarkEnd w:id="9"/>
    <w:bookmarkStart w:id="13" w:name="current-state"/>
    <w:p>
      <w:pPr>
        <w:pStyle w:val="Heading1"/>
      </w:pPr>
      <w:r>
        <w:t xml:space="preserve">2. Current State</w:t>
      </w:r>
    </w:p>
    <w:bookmarkStart w:id="10" w:name="classifier-output-all-repositories"/>
    <w:p>
      <w:pPr>
        <w:pStyle w:val="Heading2"/>
      </w:pPr>
      <w:r>
        <w:t xml:space="preserve">2.1 Classifier Output (All Repositories)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Total Records</w:t>
            </w:r>
          </w:p>
        </w:tc>
        <w:tc>
          <w:tcPr/>
          <w:p>
            <w:pPr>
              <w:pStyle w:val="Compact"/>
            </w:pPr>
            <w:r>
              <w:t xml:space="preserve">EYE_IMAGING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DataCite</w:t>
            </w:r>
          </w:p>
        </w:tc>
        <w:tc>
          <w:tcPr/>
          <w:p>
            <w:pPr>
              <w:pStyle w:val="Compact"/>
            </w:pPr>
            <w:r>
              <w:t xml:space="preserve">1,836</w:t>
            </w:r>
          </w:p>
        </w:tc>
        <w:tc>
          <w:tcPr/>
          <w:p>
            <w:pPr>
              <w:pStyle w:val="Compact"/>
            </w:pPr>
            <w:r>
              <w:t xml:space="preserve">1,130</w:t>
            </w:r>
          </w:p>
        </w:tc>
        <w:tc>
          <w:tcPr/>
          <w:p>
            <w:pPr>
              <w:pStyle w:val="Compact"/>
            </w:pPr>
            <w:r>
              <w:t xml:space="preserve">706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Figshare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1,197</w:t>
            </w:r>
          </w:p>
        </w:tc>
        <w:tc>
          <w:tcPr/>
          <w:p>
            <w:pPr>
              <w:pStyle w:val="Compact"/>
            </w:pPr>
            <w:r>
              <w:t xml:space="preserve">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Dryad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</w:t>
            </w:r>
          </w:p>
        </w:tc>
        <w:tc>
          <w:tcPr/>
          <w:p>
            <w:pPr>
              <w:pStyle w:val="Compact"/>
            </w:pPr>
            <w:r>
              <w:t xml:space="preserve">1,662</w:t>
            </w:r>
          </w:p>
        </w:tc>
        <w:tc>
          <w:tcPr/>
          <w:p>
            <w:pPr>
              <w:pStyle w:val="Compact"/>
            </w:pPr>
            <w:r>
              <w:t xml:space="preserve">686</w:t>
            </w:r>
          </w:p>
        </w:tc>
        <w:tc>
          <w:tcPr/>
          <w:p>
            <w:pPr>
              <w:pStyle w:val="Compact"/>
            </w:pPr>
            <w:r>
              <w:t xml:space="preserve">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6,833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3,480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(deduped)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4,674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2,741</w:t>
            </w:r>
          </w:p>
        </w:tc>
      </w:tr>
    </w:tbl>
    <w:bookmarkEnd w:id="10"/>
    <w:bookmarkStart w:id="11" w:name="model-performance-internal-evaluation"/>
    <w:p>
      <w:pPr>
        <w:pStyle w:val="Heading2"/>
      </w:pPr>
      <w:r>
        <w:t xml:space="preserve">2.2 Model Performance (Internal Evaluation)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Held-out test accuracy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Held-out EYE_IMAGING F1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 check (33 records)</w:t>
            </w:r>
          </w:p>
        </w:tc>
        <w:tc>
          <w:tcPr/>
          <w:p>
            <w:pPr>
              <w:pStyle w:val="Compact"/>
            </w:pPr>
            <w:r>
              <w:t xml:space="preserve">30/33 correct</w:t>
            </w:r>
          </w:p>
        </w:tc>
      </w:tr>
    </w:tbl>
    <w:bookmarkEnd w:id="11"/>
    <w:bookmarkStart w:id="12" w:name="gap-analysis"/>
    <w:p>
      <w:pPr>
        <w:pStyle w:val="Heading2"/>
      </w:pPr>
      <w:r>
        <w:t xml:space="preserve">2.3 Gap Analysis</w:t>
      </w:r>
    </w:p>
    <w:p>
      <w:pPr>
        <w:pStyle w:val="Compact"/>
        <w:numPr>
          <w:ilvl w:val="0"/>
          <w:numId w:val="1001"/>
        </w:numPr>
      </w:pPr>
      <w:r>
        <w:t xml:space="preserve">Expert validation has not yet been conducted across multiple repositories</w:t>
      </w:r>
    </w:p>
    <w:p>
      <w:pPr>
        <w:pStyle w:val="Compact"/>
        <w:numPr>
          <w:ilvl w:val="0"/>
          <w:numId w:val="1001"/>
        </w:numPr>
      </w:pPr>
      <w:r>
        <w:t xml:space="preserve">No inter-annotator agreement (IAA) metrics exist</w:t>
      </w:r>
    </w:p>
    <w:p>
      <w:pPr>
        <w:pStyle w:val="Compact"/>
        <w:numPr>
          <w:ilvl w:val="0"/>
          <w:numId w:val="1001"/>
        </w:numPr>
      </w:pPr>
      <w:r>
        <w:t xml:space="preserve">No confusion matrix has been computed from expert labels</w:t>
      </w:r>
    </w:p>
    <w:p>
      <w:pPr>
        <w:pStyle w:val="Compact"/>
        <w:numPr>
          <w:ilvl w:val="0"/>
          <w:numId w:val="1001"/>
        </w:numPr>
      </w:pPr>
      <w:r>
        <w:t xml:space="preserve">Single-repository evaluation is insufficient for a generalizability claim</w:t>
      </w:r>
    </w:p>
    <w:bookmarkEnd w:id="12"/>
    <w:bookmarkEnd w:id="13"/>
    <w:bookmarkStart w:id="18" w:name="validation-design"/>
    <w:p>
      <w:pPr>
        <w:pStyle w:val="Heading1"/>
      </w:pPr>
      <w:r>
        <w:t xml:space="preserve">3. Validation Design</w:t>
      </w:r>
    </w:p>
    <w:bookmarkStart w:id="14" w:name="sample-size-calculation"/>
    <w:p>
      <w:pPr>
        <w:pStyle w:val="Heading2"/>
      </w:pPr>
      <w:r>
        <w:t xml:space="preserve">3.1 Sample Size Calculation</w:t>
      </w:r>
    </w:p>
    <w:p>
      <w:pPr>
        <w:pStyle w:val="FirstParagraph"/>
      </w:pPr>
      <w:r>
        <w:t xml:space="preserve">Using Cochran’s formula with finite population correction:</w:t>
      </w:r>
    </w:p>
    <w:p>
      <w:pPr>
        <w:pStyle w:val="BlockText"/>
      </w:pPr>
      <w:r>
        <w:t xml:space="preserve">n0 = (Z^2 x p x (1-p)) / e^2 = (1.96^2 x 0.5 x 0.5) / 0.05^2 = 384</w:t>
      </w:r>
    </w:p>
    <w:p>
      <w:pPr>
        <w:pStyle w:val="BlockText"/>
      </w:pPr>
      <w:r>
        <w:t xml:space="preserve">n = n0 / (1 + (n0 - 1) / N) = 384 / (1 + 383/4674) = 356</w:t>
      </w:r>
    </w:p>
    <w:p>
      <w:pPr>
        <w:pStyle w:val="FirstParagraph"/>
      </w:pPr>
      <w:r>
        <w:t xml:space="preserve">Where Z = 1.96 (95% CI), p = 0.5 (maximum variability), e = 0.05 (5% margin of error), N = 4,674 (unique records).</w:t>
      </w:r>
    </w:p>
    <w:p>
      <w:pPr>
        <w:pStyle w:val="BodyText"/>
      </w:pPr>
      <w:r>
        <w:rPr>
          <w:b/>
          <w:bCs/>
        </w:rPr>
        <w:t xml:space="preserve">Required sample: 356 records.</w:t>
      </w:r>
    </w:p>
    <w:bookmarkEnd w:id="14"/>
    <w:bookmarkStart w:id="15" w:name="sampling-strategy"/>
    <w:p>
      <w:pPr>
        <w:pStyle w:val="Heading2"/>
      </w:pPr>
      <w:r>
        <w:t xml:space="preserve">3.2 Sampling Strategy</w:t>
      </w:r>
    </w:p>
    <w:p>
      <w:pPr>
        <w:pStyle w:val="FirstParagraph"/>
      </w:pPr>
      <w:r>
        <w:t xml:space="preserve">Records are sampled proportionally by repository and predicted class, with confidence-stratified selection within each stratum to ensure experts review both high-confidence and borderline cases.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Unique Records</w:t>
            </w:r>
          </w:p>
        </w:tc>
        <w:tc>
          <w:tcPr/>
          <w:p>
            <w:pPr>
              <w:pStyle w:val="Compact"/>
            </w:pPr>
            <w:r>
              <w:t xml:space="preserve">Sample Size</w:t>
            </w:r>
          </w:p>
        </w:tc>
        <w:tc>
          <w:tcPr/>
          <w:p>
            <w:pPr>
              <w:pStyle w:val="Compact"/>
            </w:pPr>
            <w:r>
              <w:t xml:space="preserve">EYE_IMAGING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DataCite</w:t>
            </w:r>
          </w:p>
        </w:tc>
        <w:tc>
          <w:tcPr/>
          <w:p>
            <w:pPr>
              <w:pStyle w:val="Compact"/>
            </w:pPr>
            <w:r>
              <w:t xml:space="preserve">1,061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Figshare</w:t>
            </w:r>
          </w:p>
        </w:tc>
        <w:tc>
          <w:tcPr/>
          <w:p>
            <w:pPr>
              <w:pStyle w:val="Compact"/>
            </w:pPr>
            <w:r>
              <w:t xml:space="preserve">1,620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</w:t>
            </w:r>
          </w:p>
        </w:tc>
        <w:tc>
          <w:tcPr/>
          <w:p>
            <w:pPr>
              <w:pStyle w:val="Compact"/>
            </w:pPr>
            <w:r>
              <w:t xml:space="preserve">667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Dryad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</w:t>
            </w:r>
          </w:p>
        </w:tc>
        <w:tc>
          <w:tcPr/>
          <w:p>
            <w:pPr>
              <w:pStyle w:val="Compact"/>
            </w:pPr>
            <w:r>
              <w:t xml:space="preserve">787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4,674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209</w:t>
            </w:r>
          </w:p>
        </w:tc>
      </w:tr>
    </w:tbl>
    <w:p>
      <w:pPr>
        <w:pStyle w:val="BodyText"/>
      </w:pPr>
      <w:r>
        <w:t xml:space="preserve">Within each repository stratum, records are further stratified by model confidence:</w:t>
      </w:r>
      <w:r>
        <w:t xml:space="preserve"> </w:t>
      </w:r>
      <w:r>
        <w:t xml:space="preserve">- 1/3 high confidence (&gt;0.95)</w:t>
      </w:r>
      <w:r>
        <w:t xml:space="preserve"> </w:t>
      </w:r>
      <w:r>
        <w:t xml:space="preserve">- 1/3 medium confidence (0.80–0.95)</w:t>
      </w:r>
      <w:r>
        <w:t xml:space="preserve"> </w:t>
      </w:r>
      <w:r>
        <w:t xml:space="preserve">- 1/3 low confidence (&lt;0.80)</w:t>
      </w:r>
    </w:p>
    <w:bookmarkEnd w:id="15"/>
    <w:bookmarkStart w:id="16" w:name="reviewer-panel"/>
    <w:p>
      <w:pPr>
        <w:pStyle w:val="Heading2"/>
      </w:pPr>
      <w:r>
        <w:t xml:space="preserve">3.3 Reviewer Panel</w:t>
      </w:r>
    </w:p>
    <w:p>
      <w:pPr>
        <w:pStyle w:val="FirstParagraph"/>
      </w:pPr>
      <w:r>
        <w:t xml:space="preserve">A minimum of 3 independent reviewers is required: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Annotation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James O’Neill</w:t>
            </w:r>
          </w:p>
        </w:tc>
        <w:tc>
          <w:tcPr/>
          <w:p>
            <w:pPr>
              <w:pStyle w:val="Compact"/>
            </w:pPr>
            <w:r>
              <w:t xml:space="preserve">Primary annotator + developer</w:t>
            </w:r>
          </w:p>
        </w:tc>
        <w:tc>
          <w:tcPr/>
          <w:p>
            <w:pPr>
              <w:pStyle w:val="Compact"/>
            </w:pPr>
            <w:r>
              <w:t xml:space="preserve">All 356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Sanjay Soundarajan</w:t>
            </w:r>
          </w:p>
        </w:tc>
        <w:tc>
          <w:tcPr/>
          <w:p>
            <w:pPr>
              <w:pStyle w:val="Compact"/>
            </w:pPr>
            <w:r>
              <w:t xml:space="preserve">Independent annotator</w:t>
            </w:r>
          </w:p>
        </w:tc>
        <w:tc>
          <w:tcPr/>
          <w:p>
            <w:pPr>
              <w:pStyle w:val="Compact"/>
            </w:pPr>
            <w:r>
              <w:t xml:space="preserve">All 356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Dorian Portillo</w:t>
            </w:r>
          </w:p>
        </w:tc>
        <w:tc>
          <w:tcPr/>
          <w:p>
            <w:pPr>
              <w:pStyle w:val="Compact"/>
            </w:pPr>
            <w:r>
              <w:t xml:space="preserve">Independent annotator</w:t>
            </w:r>
          </w:p>
        </w:tc>
        <w:tc>
          <w:tcPr/>
          <w:p>
            <w:pPr>
              <w:pStyle w:val="Compact"/>
            </w:pPr>
            <w:r>
              <w:t xml:space="preserve">All 356 records</w:t>
            </w:r>
          </w:p>
        </w:tc>
      </w:tr>
    </w:tbl>
    <w:p>
      <w:pPr>
        <w:pStyle w:val="BodyText"/>
      </w:pPr>
      <w:r>
        <w:t xml:space="preserve">All reviewers annotate all 356 records independently (full overlap). Records are presented in batches of 100 to manage reviewer fatigue. Reviewers must NOT see model predictions or confidence scores.</w:t>
      </w:r>
    </w:p>
    <w:bookmarkEnd w:id="16"/>
    <w:bookmarkStart w:id="17" w:name="annotation-scoring-per-record"/>
    <w:p>
      <w:pPr>
        <w:pStyle w:val="Heading2"/>
      </w:pPr>
      <w:r>
        <w:t xml:space="preserve">3.4 Annotation Scoring (per record)</w:t>
      </w:r>
    </w:p>
    <w:p>
      <w:pPr>
        <w:pStyle w:val="FirstParagraph"/>
      </w:pPr>
      <w:r>
        <w:t xml:space="preserve">For each record, reviewers assign a score from 0 to 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Certain EYE_IMAGING</w:t>
            </w:r>
          </w:p>
        </w:tc>
        <w:tc>
          <w:tcPr/>
          <w:p>
            <w:pPr>
              <w:pStyle w:val="Compact"/>
            </w:pPr>
            <w:r>
              <w:t xml:space="preserve">Unambiguous ophthalmic imaging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Likely EYE_IMAGING</w:t>
            </w:r>
          </w:p>
        </w:tc>
        <w:tc>
          <w:tcPr/>
          <w:p>
            <w:pPr>
              <w:pStyle w:val="Compact"/>
            </w:pPr>
            <w:r>
              <w:t xml:space="preserve">Strong evidence of eye imaging, minor doubt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Possible EYE_IMAGING</w:t>
            </w:r>
          </w:p>
        </w:tc>
        <w:tc>
          <w:tcPr/>
          <w:p>
            <w:pPr>
              <w:pStyle w:val="Compact"/>
            </w:pPr>
            <w:r>
              <w:t xml:space="preserve">Reasonable but uncertain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Unlikely EYE_IMAGING</w:t>
            </w:r>
          </w:p>
        </w:tc>
        <w:tc>
          <w:tcPr/>
          <w:p>
            <w:pPr>
              <w:pStyle w:val="Compact"/>
            </w:pPr>
            <w:r>
              <w:t xml:space="preserve">Significant doubt, sparse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Likely NEGATIVE</w:t>
            </w:r>
          </w:p>
        </w:tc>
        <w:tc>
          <w:tcPr/>
          <w:p>
            <w:pPr>
              <w:pStyle w:val="Compact"/>
            </w:pPr>
            <w:r>
              <w:t xml:space="preserve">Probably not eye imaging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Certain NEGATIVE</w:t>
            </w:r>
          </w:p>
        </w:tc>
        <w:tc>
          <w:tcPr/>
          <w:p>
            <w:pPr>
              <w:pStyle w:val="Compact"/>
            </w:pPr>
            <w:r>
              <w:t xml:space="preserve">Clearly not eye imaging</w:t>
            </w:r>
          </w:p>
        </w:tc>
      </w:tr>
    </w:tbl>
    <w:p>
      <w:pPr>
        <w:pStyle w:val="BodyText"/>
      </w:pPr>
      <w:r>
        <w:t xml:space="preserve">For computing classifier metrics, scores &gt;= 3 map to EYE_IMAGING and scores &lt;= 2 map to NEGATIVE.</w:t>
      </w:r>
    </w:p>
    <w:p>
      <w:pPr>
        <w:pStyle w:val="BodyText"/>
      </w:pPr>
      <w:r>
        <w:t xml:space="preserve">Reviewers also provide:</w:t>
      </w:r>
      <w:r>
        <w:t xml:space="preserve"> </w:t>
      </w:r>
      <w:r>
        <w:t xml:space="preserve">- Free-text notes for difficult or borderline records</w:t>
      </w:r>
      <w:r>
        <w:t xml:space="preserve"> </w:t>
      </w:r>
      <w:r>
        <w:t xml:space="preserve">- A flag for records where metadata is insufficient to judge</w:t>
      </w:r>
    </w:p>
    <w:p>
      <w:pPr>
        <w:pStyle w:val="BodyText"/>
      </w:pPr>
      <w:r>
        <w:t xml:space="preserve">Estimated time per record: 1–3 minutes. At 100 records per batch, each batch takes 1.5–5 hours.</w:t>
      </w:r>
    </w:p>
    <w:bookmarkEnd w:id="17"/>
    <w:bookmarkEnd w:id="18"/>
    <w:bookmarkStart w:id="21" w:name="validation-interface"/>
    <w:p>
      <w:pPr>
        <w:pStyle w:val="Heading1"/>
      </w:pPr>
      <w:r>
        <w:t xml:space="preserve">4. Validation Interface</w:t>
      </w:r>
    </w:p>
    <w:bookmarkStart w:id="19" w:name="spreadsheet-based-review"/>
    <w:p>
      <w:pPr>
        <w:pStyle w:val="Heading2"/>
      </w:pPr>
      <w:r>
        <w:t xml:space="preserve">4.1 Spreadsheet-Based Review</w:t>
      </w:r>
    </w:p>
    <w:p>
      <w:pPr>
        <w:pStyle w:val="FirstParagraph"/>
      </w:pPr>
      <w:r>
        <w:t xml:space="preserve">Each reviewer receives an Excel (.xlsx) workbook pre-populated with 356 sampled records, divided into 4 batches of ~90 records each. The spreadsheet contains:</w:t>
      </w:r>
    </w:p>
    <w:p>
      <w:pPr>
        <w:pStyle w:val="Compact"/>
        <w:numPr>
          <w:ilvl w:val="0"/>
          <w:numId w:val="1002"/>
        </w:numPr>
      </w:pPr>
      <w:r>
        <w:t xml:space="preserve">Column A: Sequential number</w:t>
      </w:r>
    </w:p>
    <w:p>
      <w:pPr>
        <w:pStyle w:val="Compact"/>
        <w:numPr>
          <w:ilvl w:val="0"/>
          <w:numId w:val="1002"/>
        </w:numPr>
      </w:pPr>
      <w:r>
        <w:t xml:space="preserve">Column B: Record ID (hyperlinked to source URL)</w:t>
      </w:r>
    </w:p>
    <w:p>
      <w:pPr>
        <w:pStyle w:val="Compact"/>
        <w:numPr>
          <w:ilvl w:val="0"/>
          <w:numId w:val="1002"/>
        </w:numPr>
      </w:pPr>
      <w:r>
        <w:t xml:space="preserve">Column C: Source repository</w:t>
      </w:r>
    </w:p>
    <w:p>
      <w:pPr>
        <w:pStyle w:val="Compact"/>
        <w:numPr>
          <w:ilvl w:val="0"/>
          <w:numId w:val="1002"/>
        </w:numPr>
      </w:pPr>
      <w:r>
        <w:t xml:space="preserve">Column D: Dataset title</w:t>
      </w:r>
    </w:p>
    <w:p>
      <w:pPr>
        <w:pStyle w:val="Compact"/>
        <w:numPr>
          <w:ilvl w:val="0"/>
          <w:numId w:val="1002"/>
        </w:numPr>
      </w:pPr>
      <w:r>
        <w:t xml:space="preserve">Column E: Description (truncated to 300 chars)</w:t>
      </w:r>
    </w:p>
    <w:p>
      <w:pPr>
        <w:pStyle w:val="Compact"/>
        <w:numPr>
          <w:ilvl w:val="0"/>
          <w:numId w:val="1002"/>
        </w:numPr>
      </w:pPr>
      <w:r>
        <w:t xml:space="preserve">Column F: Keywords</w:t>
      </w:r>
    </w:p>
    <w:p>
      <w:pPr>
        <w:pStyle w:val="Compact"/>
        <w:numPr>
          <w:ilvl w:val="0"/>
          <w:numId w:val="1002"/>
        </w:numPr>
      </w:pPr>
      <w:r>
        <w:t xml:space="preserve">Column G: File types detected</w:t>
      </w:r>
    </w:p>
    <w:p>
      <w:pPr>
        <w:pStyle w:val="Compact"/>
        <w:numPr>
          <w:ilvl w:val="0"/>
          <w:numId w:val="1002"/>
        </w:numPr>
      </w:pPr>
      <w:r>
        <w:t xml:space="preserve">Column H:</w:t>
      </w:r>
      <w:r>
        <w:t xml:space="preserve"> </w:t>
      </w:r>
      <w:r>
        <w:rPr>
          <w:b/>
          <w:bCs/>
        </w:rPr>
        <w:t xml:space="preserve">Reviewer score (0–5)</w:t>
      </w:r>
    </w:p>
    <w:p>
      <w:pPr>
        <w:pStyle w:val="Compact"/>
        <w:numPr>
          <w:ilvl w:val="0"/>
          <w:numId w:val="1002"/>
        </w:numPr>
      </w:pPr>
      <w:r>
        <w:t xml:space="preserve">Column I: Notes — free text for difficult cases</w:t>
      </w:r>
    </w:p>
    <w:p>
      <w:pPr>
        <w:pStyle w:val="FirstParagraph"/>
      </w:pPr>
      <w:r>
        <w:t xml:space="preserve">IMPORTANT: The spreadsheet does NOT include model predictions or confidence scores to prevent anchoring bias.</w:t>
      </w:r>
    </w:p>
    <w:bookmarkEnd w:id="19"/>
    <w:bookmarkStart w:id="20" w:name="template"/>
    <w:p>
      <w:pPr>
        <w:pStyle w:val="Heading2"/>
      </w:pPr>
      <w:r>
        <w:t xml:space="preserve">4.2 Template</w:t>
      </w:r>
    </w:p>
    <w:p>
      <w:pPr>
        <w:pStyle w:val="FirstParagraph"/>
      </w:pPr>
      <w:r>
        <w:t xml:space="preserve">An .xlsx template (envision_validation_template.xlsx) accompanies this document. Each reviewer receives their own copy. Completed spreadsheets are returned to James for agreement analysis.</w:t>
      </w:r>
    </w:p>
    <w:bookmarkEnd w:id="20"/>
    <w:bookmarkEnd w:id="21"/>
    <w:bookmarkStart w:id="26" w:name="metrics-analysis"/>
    <w:p>
      <w:pPr>
        <w:pStyle w:val="Heading1"/>
      </w:pPr>
      <w:r>
        <w:t xml:space="preserve">5. Metrics &amp; Analysis</w:t>
      </w:r>
    </w:p>
    <w:bookmarkStart w:id="22" w:name="inter-annotator-agreement-iaa"/>
    <w:p>
      <w:pPr>
        <w:pStyle w:val="Heading2"/>
      </w:pPr>
      <w:r>
        <w:t xml:space="preserve">5.1 Inter-Annotator Agreement (IAA)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926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Acceptable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Cohen’s Kappa (pairwise)</w:t>
            </w:r>
          </w:p>
        </w:tc>
        <w:tc>
          <w:tcPr/>
          <w:p>
            <w:pPr>
              <w:pStyle w:val="Compact"/>
            </w:pPr>
            <w:r>
              <w:t xml:space="preserve">Agreement between each pair, corrected for chance</w:t>
            </w:r>
          </w:p>
        </w:tc>
        <w:tc>
          <w:tcPr/>
          <w:p>
            <w:pPr>
              <w:pStyle w:val="Compact"/>
            </w:pPr>
            <w:r>
              <w:t xml:space="preserve">kappa &gt;= 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Fleiss’ Kappa (multi-rater)</w:t>
            </w:r>
          </w:p>
        </w:tc>
        <w:tc>
          <w:tcPr/>
          <w:p>
            <w:pPr>
              <w:pStyle w:val="Compact"/>
            </w:pPr>
            <w:r>
              <w:t xml:space="preserve">Agreement among all 3 annotators</w:t>
            </w:r>
          </w:p>
        </w:tc>
        <w:tc>
          <w:tcPr/>
          <w:p>
            <w:pPr>
              <w:pStyle w:val="Compact"/>
            </w:pPr>
            <w:r>
              <w:t xml:space="preserve">kappa &gt;= 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Krippendorff’s Alpha</w:t>
            </w:r>
          </w:p>
        </w:tc>
        <w:tc>
          <w:tcPr/>
          <w:p>
            <w:pPr>
              <w:pStyle w:val="Compact"/>
            </w:pPr>
            <w:r>
              <w:t xml:space="preserve">Reliability across multiple coders</w:t>
            </w:r>
          </w:p>
        </w:tc>
        <w:tc>
          <w:tcPr/>
          <w:p>
            <w:pPr>
              <w:pStyle w:val="Compact"/>
            </w:pPr>
            <w:r>
              <w:t xml:space="preserve">alpha &gt;= 0.667 (tentative), alpha &gt;= 0.80 (strong)</w:t>
            </w:r>
          </w:p>
        </w:tc>
      </w:tr>
    </w:tbl>
    <w:bookmarkEnd w:id="22"/>
    <w:bookmarkStart w:id="23" w:name="establishing-ground-truth"/>
    <w:p>
      <w:pPr>
        <w:pStyle w:val="Heading2"/>
      </w:pPr>
      <w:r>
        <w:t xml:space="preserve">5.2 Establishing Ground Truth</w:t>
      </w:r>
    </w:p>
    <w:p>
      <w:pPr>
        <w:pStyle w:val="Compact"/>
        <w:numPr>
          <w:ilvl w:val="0"/>
          <w:numId w:val="1003"/>
        </w:numPr>
      </w:pPr>
      <w:r>
        <w:t xml:space="preserve">Majority vote: Label agreed upon by &gt;= 2 of 3 reviewers (scores binarized at threshold 3)</w:t>
      </w:r>
    </w:p>
    <w:p>
      <w:pPr>
        <w:pStyle w:val="Compact"/>
        <w:numPr>
          <w:ilvl w:val="0"/>
          <w:numId w:val="1003"/>
        </w:numPr>
      </w:pPr>
      <w:r>
        <w:t xml:space="preserve">Disagreements: Resolved by discussion, documented in adjudication log</w:t>
      </w:r>
    </w:p>
    <w:bookmarkEnd w:id="23"/>
    <w:bookmarkStart w:id="24" w:name="classifier-performance-vs.-ground-truth"/>
    <w:p>
      <w:pPr>
        <w:pStyle w:val="Heading2"/>
      </w:pPr>
      <w:r>
        <w:t xml:space="preserve">5.3 Classifier Performance (vs. Ground Truth)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 (per class)</w:t>
            </w:r>
          </w:p>
        </w:tc>
        <w:tc>
          <w:tcPr/>
          <w:p>
            <w:pPr>
              <w:pStyle w:val="Compact"/>
            </w:pPr>
            <w:r>
              <w:t xml:space="preserve">Of records the classifier labeled X, how many are truly X?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(per class)</w:t>
            </w:r>
          </w:p>
        </w:tc>
        <w:tc>
          <w:tcPr/>
          <w:p>
            <w:pPr>
              <w:pStyle w:val="Compact"/>
            </w:pPr>
            <w:r>
              <w:t xml:space="preserve">Of records that are truly X, how many did the classifier find?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Score (per class)</w:t>
            </w:r>
          </w:p>
        </w:tc>
        <w:tc>
          <w:tcPr/>
          <w:p>
            <w:pPr>
              <w:pStyle w:val="Compact"/>
            </w:pPr>
            <w:r>
              <w:t xml:space="preserve">Harmonic mean of precision and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Unweighted average F1 across both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Matrix</w:t>
            </w:r>
          </w:p>
        </w:tc>
        <w:tc>
          <w:tcPr/>
          <w:p>
            <w:pPr>
              <w:pStyle w:val="Compact"/>
            </w:pPr>
            <w:r>
              <w:t xml:space="preserve">2x2 matrix of predicted vs. actual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Confidence Intervals</w:t>
            </w:r>
          </w:p>
        </w:tc>
        <w:tc>
          <w:tcPr/>
          <w:p>
            <w:pPr>
              <w:pStyle w:val="Compact"/>
            </w:pPr>
            <w:r>
              <w:t xml:space="preserve">Bootstrap CIs on all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Curve</w:t>
            </w:r>
          </w:p>
        </w:tc>
        <w:tc>
          <w:tcPr/>
          <w:p>
            <w:pPr>
              <w:pStyle w:val="Compact"/>
            </w:pPr>
            <w:r>
              <w:t xml:space="preserve">Accuracy vs. confidence bins</w:t>
            </w:r>
          </w:p>
        </w:tc>
      </w:tr>
    </w:tbl>
    <w:bookmarkEnd w:id="24"/>
    <w:bookmarkStart w:id="25" w:name="per-repository-analysis"/>
    <w:p>
      <w:pPr>
        <w:pStyle w:val="Heading2"/>
      </w:pPr>
      <w:r>
        <w:t xml:space="preserve">5.4 Per-Repository Analysis</w:t>
      </w:r>
    </w:p>
    <w:p>
      <w:pPr>
        <w:pStyle w:val="FirstParagraph"/>
      </w:pPr>
      <w:r>
        <w:t xml:space="preserve">Performance is reported separately for each repository to assess cross-repository generalizability. If F1 varies significantly across repositories, this indicates domain-specific weaknesses to address.</w:t>
      </w:r>
    </w:p>
    <w:bookmarkEnd w:id="25"/>
    <w:bookmarkEnd w:id="26"/>
    <w:bookmarkStart w:id="27" w:name="timeline"/>
    <w:p>
      <w:pPr>
        <w:pStyle w:val="Heading1"/>
      </w:pPr>
      <w:r>
        <w:t xml:space="preserve">6.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Mar 24–28</w:t>
            </w:r>
          </w:p>
        </w:tc>
        <w:tc>
          <w:tcPr/>
          <w:p>
            <w:pPr>
              <w:pStyle w:val="Compact"/>
            </w:pPr>
            <w:r>
              <w:t xml:space="preserve">Finalize plan; generate stratified sample; distribute .xlsx</w:t>
            </w:r>
          </w:p>
        </w:tc>
        <w:tc>
          <w:tcPr/>
          <w:p>
            <w:pPr>
              <w:pStyle w:val="Compact"/>
            </w:pPr>
            <w:r>
              <w:t xml:space="preserve">James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Mar 31 – Apr 11</w:t>
            </w:r>
          </w:p>
        </w:tc>
        <w:tc>
          <w:tcPr/>
          <w:p>
            <w:pPr>
              <w:pStyle w:val="Compact"/>
            </w:pPr>
            <w:r>
              <w:t xml:space="preserve">Reviewers annotate 356 records (100/batch, 4 batches)</w:t>
            </w:r>
          </w:p>
        </w:tc>
        <w:tc>
          <w:tcPr/>
          <w:p>
            <w:pPr>
              <w:pStyle w:val="Compact"/>
            </w:pPr>
            <w:r>
              <w:t xml:space="preserve">All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Apr 14–18</w:t>
            </w:r>
          </w:p>
        </w:tc>
        <w:tc>
          <w:tcPr/>
          <w:p>
            <w:pPr>
              <w:pStyle w:val="Compact"/>
            </w:pPr>
            <w:r>
              <w:t xml:space="preserve">Collect spreadsheets; compute IAA; adjudicate disagreements</w:t>
            </w:r>
          </w:p>
        </w:tc>
        <w:tc>
          <w:tcPr/>
          <w:p>
            <w:pPr>
              <w:pStyle w:val="Compact"/>
            </w:pPr>
            <w:r>
              <w:t xml:space="preserve">James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Apr 21–25</w:t>
            </w:r>
          </w:p>
        </w:tc>
        <w:tc>
          <w:tcPr/>
          <w:p>
            <w:pPr>
              <w:pStyle w:val="Compact"/>
            </w:pPr>
            <w:r>
              <w:t xml:space="preserve">Compute F1, confusion matrix, calibration; draft results</w:t>
            </w:r>
          </w:p>
        </w:tc>
        <w:tc>
          <w:tcPr/>
          <w:p>
            <w:pPr>
              <w:pStyle w:val="Compact"/>
            </w:pPr>
            <w:r>
              <w:t xml:space="preserve">James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Apr 28 – May 2</w:t>
            </w:r>
          </w:p>
        </w:tc>
        <w:tc>
          <w:tcPr/>
          <w:p>
            <w:pPr>
              <w:pStyle w:val="Compact"/>
            </w:pPr>
            <w:r>
              <w:t xml:space="preserve">Internal review; iterate if IAA &lt; 0.70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May 5–23</w:t>
            </w:r>
          </w:p>
        </w:tc>
        <w:tc>
          <w:tcPr/>
          <w:p>
            <w:pPr>
              <w:pStyle w:val="Compact"/>
            </w:pPr>
            <w:r>
              <w:t xml:space="preserve">Write manuscript; prepare figures</w:t>
            </w:r>
          </w:p>
        </w:tc>
        <w:tc>
          <w:tcPr/>
          <w:p>
            <w:pPr>
              <w:pStyle w:val="Compact"/>
            </w:pPr>
            <w:r>
              <w:t xml:space="preserve">James +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May 26–30</w:t>
            </w:r>
          </w:p>
        </w:tc>
        <w:tc>
          <w:tcPr/>
          <w:p>
            <w:pPr>
              <w:pStyle w:val="Compact"/>
            </w:pPr>
            <w:r>
              <w:t xml:space="preserve">Internal review and submission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27"/>
    <w:bookmarkStart w:id="28" w:name="target-journals"/>
    <w:p>
      <w:pPr>
        <w:pStyle w:val="Heading1"/>
      </w:pPr>
      <w:r>
        <w:t xml:space="preserve">7. Target Journals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Why It 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Scientific Data</w:t>
            </w:r>
          </w:p>
        </w:tc>
        <w:tc>
          <w:tcPr/>
          <w:p>
            <w:pPr>
              <w:pStyle w:val="Compact"/>
            </w:pPr>
            <w:r>
              <w:t xml:space="preserve">Dataset description papers; strong FAIR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JAMIA</w:t>
            </w:r>
          </w:p>
        </w:tc>
        <w:tc>
          <w:tcPr/>
          <w:p>
            <w:pPr>
              <w:pStyle w:val="Compact"/>
            </w:pPr>
            <w:r>
              <w:t xml:space="preserve">Biomedical informatics tools; dataset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 Biomedical Informatics</w:t>
            </w:r>
          </w:p>
        </w:tc>
        <w:tc>
          <w:tcPr/>
          <w:p>
            <w:pPr>
              <w:pStyle w:val="Compact"/>
            </w:pPr>
            <w:r>
              <w:t xml:space="preserve">NLP/ML classifiers for biomedical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 Science Journal</w:t>
            </w:r>
          </w:p>
        </w:tc>
        <w:tc>
          <w:tcPr/>
          <w:p>
            <w:pPr>
              <w:pStyle w:val="Compact"/>
            </w:pPr>
            <w:r>
              <w:t xml:space="preserve">FAIR principles; open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PLOS ONE</w:t>
            </w:r>
          </w:p>
        </w:tc>
        <w:tc>
          <w:tcPr/>
          <w:p>
            <w:pPr>
              <w:pStyle w:val="Compact"/>
            </w:pPr>
            <w:r>
              <w:t xml:space="preserve">Broad scope; accepts ML + medical data</w:t>
            </w:r>
          </w:p>
        </w:tc>
      </w:tr>
    </w:tbl>
    <w:bookmarkEnd w:id="28"/>
    <w:bookmarkStart w:id="29" w:name="deliverables"/>
    <w:p>
      <w:pPr>
        <w:pStyle w:val="Heading1"/>
      </w:pPr>
      <w:r>
        <w:t xml:space="preserve">8. Deliverables</w:t>
      </w:r>
    </w:p>
    <w:p>
      <w:pPr>
        <w:pStyle w:val="Compact"/>
        <w:numPr>
          <w:ilvl w:val="0"/>
          <w:numId w:val="1004"/>
        </w:numPr>
      </w:pPr>
      <w:r>
        <w:t xml:space="preserve">3 completed annotation spreadsheets (.xlsx)</w:t>
      </w:r>
    </w:p>
    <w:p>
      <w:pPr>
        <w:pStyle w:val="Compact"/>
        <w:numPr>
          <w:ilvl w:val="0"/>
          <w:numId w:val="1004"/>
        </w:numPr>
      </w:pPr>
      <w:r>
        <w:t xml:space="preserve">Inter-annotator agreement report (Cohen’s kappa, Fleiss’ kappa, Krippendorff’s alpha)</w:t>
      </w:r>
    </w:p>
    <w:p>
      <w:pPr>
        <w:pStyle w:val="Compact"/>
        <w:numPr>
          <w:ilvl w:val="0"/>
          <w:numId w:val="1004"/>
        </w:numPr>
      </w:pPr>
      <w:r>
        <w:t xml:space="preserve">Adjudication log for disagreements</w:t>
      </w:r>
    </w:p>
    <w:p>
      <w:pPr>
        <w:pStyle w:val="Compact"/>
        <w:numPr>
          <w:ilvl w:val="0"/>
          <w:numId w:val="1004"/>
        </w:numPr>
      </w:pPr>
      <w:r>
        <w:t xml:space="preserve">Confusion matrix (2x2) with 95% CIs</w:t>
      </w:r>
    </w:p>
    <w:p>
      <w:pPr>
        <w:pStyle w:val="Compact"/>
        <w:numPr>
          <w:ilvl w:val="0"/>
          <w:numId w:val="1004"/>
        </w:numPr>
      </w:pPr>
      <w:r>
        <w:t xml:space="preserve">Per-class and per-repository precision, recall, F1 tables</w:t>
      </w:r>
    </w:p>
    <w:p>
      <w:pPr>
        <w:pStyle w:val="Compact"/>
        <w:numPr>
          <w:ilvl w:val="0"/>
          <w:numId w:val="1004"/>
        </w:numPr>
      </w:pPr>
      <w:r>
        <w:t xml:space="preserve">Confidence calibration plot</w:t>
      </w:r>
    </w:p>
    <w:p>
      <w:pPr>
        <w:pStyle w:val="Compact"/>
        <w:numPr>
          <w:ilvl w:val="0"/>
          <w:numId w:val="1004"/>
        </w:numPr>
      </w:pPr>
      <w:r>
        <w:t xml:space="preserve">Manuscript draft for target journal</w:t>
      </w:r>
    </w:p>
    <w:bookmarkEnd w:id="29"/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/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/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  <w:rPr/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ＭＳ 明朝" w:eastAsiaTheme="minorEastAsia" w:hAnsi="Cambria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libri" w:cs="" w:cstheme="minorBidi" w:eastAsia="ＭＳ 明朝" w:eastAsiaTheme="minorEastAsia" w:hAnsi="Calibri"/>
      <w:color w:val="auto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i/>
      <w:iCs/>
      <w:color w:themeColor="text1" w:themeTint="bf" w:val="404040"/>
      <w:sz w:val="20"/>
      <w:szCs w:val="20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ＭＳ ゴシック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ＭＳ ゴシック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ＭＳ ゴシック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ＭＳ ゴシック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ＭＳ ゴシック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ＭＳ ゴシック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ＭＳ ゴシック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ＭＳ ゴシック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ＭＳ 明朝" w:eastAsiaTheme="minorEastAsia" w:hAnsi="Cambria" w:hAnsiTheme="minorHAnsi"/>
      <w:color w:val="auto"/>
      <w:kern w:val="0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before="0" w:line="240" w:lineRule="auto"/>
      <w:contextualSpacing/>
    </w:pPr>
    <w:rPr>
      <w:rFonts w:ascii="Calibri" w:asciiTheme="majorHAnsi" w:cs="" w:cstheme="majorBidi" w:eastAsia="ＭＳ ゴシック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ＭＳ ゴシック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2" w:type="paragraph">
    <w:name w:val="List 2"/>
    <w:basedOn w:val="Normal"/>
    <w:uiPriority w:val="99"/>
    <w:unhideWhenUsed/>
    <w:qFormat/>
    <w:rsid w:val="00326f90"/>
    <w:pPr>
      <w:spacing w:after="200" w:before="0"/>
      <w:ind w:hanging="360" w:left="720"/>
      <w:contextualSpacing/>
    </w:pPr>
    <w:rPr/>
  </w:style>
  <w:style w:styleId="List3" w:type="paragraph">
    <w:name w:val="List 3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rsid w:val="00326f90"/>
    <w:pPr>
      <w:numPr>
        <w:ilvl w:val="0"/>
        <w:numId w:val="2"/>
      </w:numPr>
      <w:spacing w:after="200" w:before="0"/>
      <w:contextualSpacing/>
    </w:pPr>
    <w:rPr/>
  </w:style>
  <w:style w:styleId="ListBullet3" w:type="paragraph">
    <w:name w:val="List Bullet 3"/>
    <w:basedOn w:val="Normal"/>
    <w:uiPriority w:val="99"/>
    <w:unhideWhenUsed/>
    <w:rsid w:val="00326f90"/>
    <w:pPr>
      <w:numPr>
        <w:ilvl w:val="0"/>
        <w:numId w:val="3"/>
      </w:num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rsid w:val="00326f90"/>
    <w:pPr>
      <w:numPr>
        <w:ilvl w:val="0"/>
        <w:numId w:val="4"/>
      </w:num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rsid w:val="0029639d"/>
    <w:pPr>
      <w:numPr>
        <w:ilvl w:val="0"/>
        <w:numId w:val="5"/>
      </w:num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rsid w:val="0029639d"/>
    <w:pPr>
      <w:numPr>
        <w:ilvl w:val="0"/>
        <w:numId w:val="6"/>
      </w:num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rsid w:val="0029639d"/>
    <w:pPr>
      <w:spacing w:after="120" w:before="0"/>
      <w:ind w:left="360"/>
      <w:contextualSpacing/>
    </w:pPr>
    <w:rPr/>
  </w:style>
  <w:style w:styleId="ListContinue2" w:type="paragraph">
    <w:name w:val="List Continue 2"/>
    <w:basedOn w:val="Normal"/>
    <w:uiPriority w:val="99"/>
    <w:unhideWhenUsed/>
    <w:rsid w:val="0029639d"/>
    <w:pPr>
      <w:spacing w:after="120" w:before="0"/>
      <w:ind w:left="720"/>
      <w:contextualSpacing/>
    </w:pPr>
    <w:rPr/>
  </w:style>
  <w:style w:styleId="ListContinue3" w:type="paragraph">
    <w:name w:val="List Continue 3"/>
    <w:basedOn w:val="Normal"/>
    <w:uiPriority w:val="99"/>
    <w:unhideWhenUsed/>
    <w:rsid w:val="0029639d"/>
    <w:pPr>
      <w:spacing w:after="120" w:before="0"/>
      <w:ind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pos="720" w:val="clear"/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spacing w:after="200" w:before="0" w:line="276" w:lineRule="auto"/>
      <w:jc w:val="left"/>
    </w:pPr>
    <w:rPr>
      <w:rFonts w:ascii="Courier" w:cs="" w:cstheme="minorBidi" w:eastAsia="ＭＳ 明朝" w:eastAsiaTheme="minorEastAsia" w:hAnsi="Courier"/>
      <w:color w:val="auto"/>
      <w:kern w:val="0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7</Pages>
  <Words>1418</Words>
  <Characters>8096</Characters>
  <CharactersWithSpaces>9205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2026-03-24T19:45:59Z</dcterms:created>
  <dcterms:modified xsi:type="dcterms:W3CDTF">2026-03-24T19:45:59Z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