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40"/>
        <w:jc w:val="center"/>
      </w:pPr>
      <w:r>
        <w:rPr>
          <w:rFonts w:ascii="Aptos" w:hAnsi="Aptos"/>
          <w:b/>
          <w:i w:val="0"/>
          <w:color w:val="A66A00"/>
          <w:sz w:val="19"/>
        </w:rPr>
        <w:t>REUSABLE DIRECTIVE</w:t>
      </w:r>
    </w:p>
    <w:p>
      <w:pPr>
        <w:pStyle w:val="Title"/>
        <w:jc w:val="center"/>
      </w:pPr>
      <w:r>
        <w:t>Optimal Task Brief</w:t>
      </w:r>
    </w:p>
    <w:p>
      <w:pPr>
        <w:pStyle w:val="Subtitle"/>
        <w:jc w:val="center"/>
      </w:pPr>
      <w:r>
        <w:t>A practical template for giving Codex the context, authority, constraints, and finish line needed to deliver excellent work.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A66A00"/>
          <w:left w:val="single" w:sz="8" w:color="A66A00"/>
          <w:bottom w:val="single" w:sz="8" w:color="A66A00"/>
          <w:right w:val="single" w:sz="8" w:color="A66A00"/>
          <w:insideH w:val="single" w:sz="8" w:color="A66A00"/>
          <w:insideV w:val="single" w:sz="8" w:color="A66A00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7E8"/>
          </w:tcPr>
          <w:p>
            <w:pPr>
              <w:spacing w:after="0" w:line="276" w:lineRule="auto"/>
            </w:pPr>
            <w:r>
              <w:rPr>
                <w:rFonts w:ascii="Aptos" w:hAnsi="Aptos"/>
                <w:b/>
                <w:i w:val="0"/>
                <w:color w:val="17324D"/>
                <w:sz w:val="21"/>
              </w:rPr>
              <w:t xml:space="preserve">THE RULE  </w:t>
            </w:r>
            <w:r>
              <w:rPr>
                <w:rFonts w:ascii="Aptos" w:hAnsi="Aptos"/>
                <w:b w:val="0"/>
                <w:i w:val="0"/>
                <w:color w:val="202A33"/>
                <w:sz w:val="20"/>
              </w:rPr>
              <w:t>Fill the Essentials every time. Add only the optional modules that materially change the work. Delete guidance text before sending if you want a cleaner brief.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How to use this template</w:t>
      </w:r>
    </w:p>
    <w:p>
      <w:pPr>
        <w:spacing w:after="80" w:line="288" w:lineRule="auto"/>
        <w:numPr>
          <w:ilvl w:val="0"/>
          <w:numId w:val="901"/>
        </w:numPr>
      </w:pPr>
      <w:r>
        <w:rPr>
          <w:rFonts w:ascii="Aptos" w:hAnsi="Aptos"/>
          <w:b w:val="0"/>
          <w:i w:val="0"/>
          <w:color w:val="202A33"/>
          <w:sz w:val="21"/>
        </w:rPr>
        <w:t>Start with the outcome: describe the finished result, not just the activity.</w:t>
      </w:r>
    </w:p>
    <w:p>
      <w:pPr>
        <w:spacing w:after="80" w:line="288" w:lineRule="auto"/>
        <w:numPr>
          <w:ilvl w:val="0"/>
          <w:numId w:val="901"/>
        </w:numPr>
      </w:pPr>
      <w:r>
        <w:rPr>
          <w:rFonts w:ascii="Aptos" w:hAnsi="Aptos"/>
          <w:b w:val="0"/>
          <w:i w:val="0"/>
          <w:color w:val="202A33"/>
          <w:sz w:val="21"/>
        </w:rPr>
        <w:t>Supply the context and source material that would change a good decision.</w:t>
      </w:r>
    </w:p>
    <w:p>
      <w:pPr>
        <w:spacing w:after="80" w:line="288" w:lineRule="auto"/>
        <w:numPr>
          <w:ilvl w:val="0"/>
          <w:numId w:val="901"/>
        </w:numPr>
      </w:pPr>
      <w:r>
        <w:rPr>
          <w:rFonts w:ascii="Aptos" w:hAnsi="Aptos"/>
          <w:b w:val="0"/>
          <w:i w:val="0"/>
          <w:color w:val="202A33"/>
          <w:sz w:val="21"/>
        </w:rPr>
        <w:t>State boundaries, permissions, and irreversible actions explicitly.</w:t>
      </w:r>
    </w:p>
    <w:p>
      <w:pPr>
        <w:spacing w:after="80" w:line="288" w:lineRule="auto"/>
        <w:numPr>
          <w:ilvl w:val="0"/>
          <w:numId w:val="901"/>
        </w:numPr>
      </w:pPr>
      <w:r>
        <w:rPr>
          <w:rFonts w:ascii="Aptos" w:hAnsi="Aptos"/>
          <w:b w:val="0"/>
          <w:i w:val="0"/>
          <w:color w:val="202A33"/>
          <w:sz w:val="21"/>
        </w:rPr>
        <w:t>Define how the result will be checked and what “done” means.</w:t>
      </w:r>
    </w:p>
    <w:p>
      <w:pPr>
        <w:spacing w:after="80" w:line="288" w:lineRule="auto"/>
        <w:numPr>
          <w:ilvl w:val="0"/>
          <w:numId w:val="901"/>
        </w:numPr>
      </w:pPr>
      <w:r>
        <w:rPr>
          <w:rFonts w:ascii="Aptos" w:hAnsi="Aptos"/>
          <w:b w:val="0"/>
          <w:i w:val="0"/>
          <w:color w:val="202A33"/>
          <w:sz w:val="21"/>
        </w:rPr>
        <w:t>For quick tasks, send only the one-minute brief below; omit the rest.</w:t>
      </w:r>
    </w:p>
    <w:p>
      <w:pPr>
        <w:pStyle w:val="Heading1"/>
        <w:keepNext/>
      </w:pPr>
      <w:r>
        <w:t>One-minute brief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5"/>
          <w:left w:val="single" w:sz="6" w:color="D7DEE5"/>
          <w:bottom w:val="single" w:sz="6" w:color="D7DEE5"/>
          <w:right w:val="single" w:sz="6" w:color="D7DEE5"/>
          <w:insideH w:val="single" w:sz="6" w:color="D7DEE5"/>
          <w:insideV w:val="single" w:sz="6" w:color="D7DEE5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Outcome</w:t>
            </w:r>
          </w:p>
        </w:tc>
        <w:tc>
          <w:tcPr>
            <w:tcW w:type="dxa" w:w="74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17D"/>
                <w:sz w:val="19"/>
              </w:rPr>
              <w:t>[What should exist or be true when finished?]</w:t>
            </w:r>
          </w:p>
        </w:tc>
      </w:tr>
      <w:tr>
        <w:tc>
          <w:tcPr>
            <w:tcW w:type="dxa" w:w="19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Context</w:t>
            </w:r>
          </w:p>
        </w:tc>
        <w:tc>
          <w:tcPr>
            <w:tcW w:type="dxa" w:w="74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17D"/>
                <w:sz w:val="19"/>
              </w:rPr>
              <w:t>[Why this matters; audience; current state.]</w:t>
            </w:r>
          </w:p>
        </w:tc>
      </w:tr>
      <w:tr>
        <w:tc>
          <w:tcPr>
            <w:tcW w:type="dxa" w:w="19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Inputs</w:t>
            </w:r>
          </w:p>
        </w:tc>
        <w:tc>
          <w:tcPr>
            <w:tcW w:type="dxa" w:w="74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17D"/>
                <w:sz w:val="19"/>
              </w:rPr>
              <w:t>[Files, links, examples, data, or prior work to use.]</w:t>
            </w:r>
          </w:p>
        </w:tc>
      </w:tr>
      <w:tr>
        <w:tc>
          <w:tcPr>
            <w:tcW w:type="dxa" w:w="19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Constraints</w:t>
            </w:r>
          </w:p>
        </w:tc>
        <w:tc>
          <w:tcPr>
            <w:tcW w:type="dxa" w:w="74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17D"/>
                <w:sz w:val="19"/>
              </w:rPr>
              <w:t>[Must / must not; deadline; format; scope; risk.]</w:t>
            </w:r>
          </w:p>
        </w:tc>
      </w:tr>
      <w:tr>
        <w:tc>
          <w:tcPr>
            <w:tcW w:type="dxa" w:w="19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Done when</w:t>
            </w:r>
          </w:p>
        </w:tc>
        <w:tc>
          <w:tcPr>
            <w:tcW w:type="dxa" w:w="74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17D"/>
                <w:sz w:val="19"/>
              </w:rPr>
              <w:t>[Tests, review criteria, and expected handoff.]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Essentials</w:t>
      </w:r>
    </w:p>
    <w:p>
      <w:pPr>
        <w:spacing w:after="100" w:line="283" w:lineRule="auto"/>
      </w:pPr>
      <w:r>
        <w:rPr>
          <w:rFonts w:ascii="Aptos" w:hAnsi="Aptos"/>
          <w:b w:val="0"/>
          <w:i/>
          <w:color w:val="66717D"/>
          <w:sz w:val="19"/>
        </w:rPr>
        <w:t>Complete this section for every task. Be concrete; short answers are enough.</w:t>
      </w:r>
    </w:p>
    <w:p>
      <w:pPr>
        <w:keepNext/>
        <w:spacing w:before="40" w:after="40" w:line="283" w:lineRule="auto"/>
      </w:pPr>
      <w:r>
        <w:rPr>
          <w:rFonts w:ascii="Aptos" w:hAnsi="Aptos"/>
          <w:b/>
          <w:i w:val="0"/>
          <w:color w:val="17324D"/>
          <w:sz w:val="21"/>
        </w:rPr>
        <w:t>Task name</w:t>
      </w:r>
      <w:r>
        <w:rPr>
          <w:rFonts w:ascii="Aptos" w:hAnsi="Aptos"/>
          <w:b w:val="0"/>
          <w:i w:val="0"/>
          <w:color w:val="202A33"/>
          <w:sz w:val="21"/>
        </w:rPr>
        <w:t xml:space="preserve">  [Short, recognizable label]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4DE"/>
          <w:left w:val="single" w:sz="6" w:color="CAD4DE"/>
          <w:bottom w:val="single" w:sz="6" w:color="CAD4DE"/>
          <w:right w:val="single" w:sz="6" w:color="CAD4DE"/>
          <w:insideH w:val="single" w:sz="6" w:color="CAD4DE"/>
          <w:insideV w:val="single" w:sz="6" w:color="CAD4DE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/>
                <w:color w:val="77838F"/>
                <w:sz w:val="19"/>
              </w:rPr>
              <w:t>[Type here]</w:t>
            </w:r>
          </w:p>
        </w:tc>
      </w:tr>
    </w:tbl>
    <w:p>
      <w:pPr>
        <w:spacing w:after="40"/>
      </w:pPr>
    </w:p>
    <w:p>
      <w:pPr>
        <w:keepNext/>
        <w:spacing w:before="40" w:after="40" w:line="283" w:lineRule="auto"/>
      </w:pPr>
      <w:r>
        <w:rPr>
          <w:rFonts w:ascii="Aptos" w:hAnsi="Aptos"/>
          <w:b/>
          <w:i w:val="0"/>
          <w:color w:val="17324D"/>
          <w:sz w:val="21"/>
        </w:rPr>
        <w:t>Desired outcome</w:t>
      </w:r>
      <w:r>
        <w:rPr>
          <w:rFonts w:ascii="Aptos" w:hAnsi="Aptos"/>
          <w:b w:val="0"/>
          <w:i w:val="0"/>
          <w:color w:val="202A33"/>
          <w:sz w:val="21"/>
        </w:rPr>
        <w:t xml:space="preserve">  [Describe the final state or artifact.]</w:t>
      </w:r>
      <w:r>
        <w:rPr>
          <w:rFonts w:ascii="Aptos" w:hAnsi="Aptos"/>
          <w:b w:val="0"/>
          <w:i/>
          <w:color w:val="66717D"/>
          <w:sz w:val="18"/>
        </w:rPr>
        <w:t xml:space="preserve">  Example: “A tested Python CLI that converts Suite2p outputs into tidy CSV files.”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4DE"/>
          <w:left w:val="single" w:sz="6" w:color="CAD4DE"/>
          <w:bottom w:val="single" w:sz="6" w:color="CAD4DE"/>
          <w:right w:val="single" w:sz="6" w:color="CAD4DE"/>
          <w:insideH w:val="single" w:sz="6" w:color="CAD4DE"/>
          <w:insideV w:val="single" w:sz="6" w:color="CAD4DE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/>
                <w:color w:val="77838F"/>
                <w:sz w:val="19"/>
              </w:rPr>
              <w:t>[Type here]</w:t>
            </w:r>
            <w:r>
              <w:br/>
            </w:r>
          </w:p>
        </w:tc>
      </w:tr>
    </w:tbl>
    <w:p>
      <w:pPr>
        <w:spacing w:after="40"/>
      </w:pPr>
    </w:p>
    <w:p>
      <w:pPr>
        <w:keepNext/>
        <w:spacing w:before="40" w:after="40" w:line="283" w:lineRule="auto"/>
      </w:pPr>
      <w:r>
        <w:rPr>
          <w:rFonts w:ascii="Aptos" w:hAnsi="Aptos"/>
          <w:b/>
          <w:i w:val="0"/>
          <w:color w:val="17324D"/>
          <w:sz w:val="21"/>
        </w:rPr>
        <w:t>Why this matters</w:t>
      </w:r>
      <w:r>
        <w:rPr>
          <w:rFonts w:ascii="Aptos" w:hAnsi="Aptos"/>
          <w:b w:val="0"/>
          <w:i w:val="0"/>
          <w:color w:val="202A33"/>
          <w:sz w:val="21"/>
        </w:rPr>
        <w:t xml:space="preserve">  [Decision, workflow, user need, or problem this supports.]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4DE"/>
          <w:left w:val="single" w:sz="6" w:color="CAD4DE"/>
          <w:bottom w:val="single" w:sz="6" w:color="CAD4DE"/>
          <w:right w:val="single" w:sz="6" w:color="CAD4DE"/>
          <w:insideH w:val="single" w:sz="6" w:color="CAD4DE"/>
          <w:insideV w:val="single" w:sz="6" w:color="CAD4DE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/>
                <w:color w:val="77838F"/>
                <w:sz w:val="19"/>
              </w:rPr>
              <w:t>[Type here]</w:t>
            </w:r>
            <w:r>
              <w:br/>
            </w:r>
          </w:p>
        </w:tc>
      </w:tr>
    </w:tbl>
    <w:p>
      <w:pPr>
        <w:spacing w:after="40"/>
      </w:pPr>
    </w:p>
    <w:p>
      <w:pPr>
        <w:keepNext/>
        <w:spacing w:before="40" w:after="40" w:line="283" w:lineRule="auto"/>
      </w:pPr>
      <w:r>
        <w:rPr>
          <w:rFonts w:ascii="Aptos" w:hAnsi="Aptos"/>
          <w:b/>
          <w:i w:val="0"/>
          <w:color w:val="17324D"/>
          <w:sz w:val="21"/>
        </w:rPr>
        <w:t>Audience / user</w:t>
      </w:r>
      <w:r>
        <w:rPr>
          <w:rFonts w:ascii="Aptos" w:hAnsi="Aptos"/>
          <w:b w:val="0"/>
          <w:i w:val="0"/>
          <w:color w:val="202A33"/>
          <w:sz w:val="21"/>
        </w:rPr>
        <w:t xml:space="preserve">  [Who will read, run, approve, or maintain the result?]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4DE"/>
          <w:left w:val="single" w:sz="6" w:color="CAD4DE"/>
          <w:bottom w:val="single" w:sz="6" w:color="CAD4DE"/>
          <w:right w:val="single" w:sz="6" w:color="CAD4DE"/>
          <w:insideH w:val="single" w:sz="6" w:color="CAD4DE"/>
          <w:insideV w:val="single" w:sz="6" w:color="CAD4DE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/>
                <w:color w:val="77838F"/>
                <w:sz w:val="19"/>
              </w:rPr>
              <w:t>[Type here]</w:t>
            </w:r>
          </w:p>
        </w:tc>
      </w:tr>
    </w:tbl>
    <w:p>
      <w:pPr>
        <w:spacing w:after="40"/>
      </w:pPr>
    </w:p>
    <w:p>
      <w:pPr>
        <w:keepNext/>
        <w:spacing w:before="40" w:after="40" w:line="283" w:lineRule="auto"/>
      </w:pPr>
      <w:r>
        <w:rPr>
          <w:rFonts w:ascii="Aptos" w:hAnsi="Aptos"/>
          <w:b/>
          <w:i w:val="0"/>
          <w:color w:val="17324D"/>
          <w:sz w:val="21"/>
        </w:rPr>
        <w:t>Current state</w:t>
      </w:r>
      <w:r>
        <w:rPr>
          <w:rFonts w:ascii="Aptos" w:hAnsi="Aptos"/>
          <w:b w:val="0"/>
          <w:i w:val="0"/>
          <w:color w:val="202A33"/>
          <w:sz w:val="21"/>
        </w:rPr>
        <w:t xml:space="preserve">  [What exists now? What has already been tried?]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4DE"/>
          <w:left w:val="single" w:sz="6" w:color="CAD4DE"/>
          <w:bottom w:val="single" w:sz="6" w:color="CAD4DE"/>
          <w:right w:val="single" w:sz="6" w:color="CAD4DE"/>
          <w:insideH w:val="single" w:sz="6" w:color="CAD4DE"/>
          <w:insideV w:val="single" w:sz="6" w:color="CAD4DE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/>
                <w:color w:val="77838F"/>
                <w:sz w:val="19"/>
              </w:rPr>
              <w:t>[Type here]</w:t>
            </w:r>
            <w:r>
              <w:br/>
            </w:r>
          </w:p>
        </w:tc>
      </w:tr>
    </w:tbl>
    <w:p>
      <w:pPr>
        <w:spacing w:after="40"/>
      </w:pPr>
    </w:p>
    <w:p>
      <w:pPr>
        <w:keepNext/>
        <w:spacing w:before="40" w:after="40" w:line="283" w:lineRule="auto"/>
      </w:pPr>
      <w:r>
        <w:rPr>
          <w:rFonts w:ascii="Aptos" w:hAnsi="Aptos"/>
          <w:b/>
          <w:i w:val="0"/>
          <w:color w:val="17324D"/>
          <w:sz w:val="21"/>
        </w:rPr>
        <w:t>Inputs and sources</w:t>
      </w:r>
      <w:r>
        <w:rPr>
          <w:rFonts w:ascii="Aptos" w:hAnsi="Aptos"/>
          <w:b w:val="0"/>
          <w:i w:val="0"/>
          <w:color w:val="202A33"/>
          <w:sz w:val="21"/>
        </w:rPr>
        <w:t xml:space="preserve">  [List or attach files, folders, links, examples, datasets, and source-of-truth material.]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4DE"/>
          <w:left w:val="single" w:sz="6" w:color="CAD4DE"/>
          <w:bottom w:val="single" w:sz="6" w:color="CAD4DE"/>
          <w:right w:val="single" w:sz="6" w:color="CAD4DE"/>
          <w:insideH w:val="single" w:sz="6" w:color="CAD4DE"/>
          <w:insideV w:val="single" w:sz="6" w:color="CAD4DE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/>
                <w:color w:val="77838F"/>
                <w:sz w:val="19"/>
              </w:rPr>
              <w:t>[Type here]</w:t>
            </w:r>
            <w:r>
              <w:br/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2E74B5"/>
          <w:left w:val="single" w:sz="8" w:color="2E74B5"/>
          <w:bottom w:val="single" w:sz="8" w:color="2E74B5"/>
          <w:right w:val="single" w:sz="8" w:color="2E74B5"/>
          <w:insideH w:val="single" w:sz="8" w:color="2E74B5"/>
          <w:insideV w:val="single" w:sz="8" w:color="2E74B5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8F0F7"/>
          </w:tcPr>
          <w:p>
            <w:pPr>
              <w:spacing w:after="0" w:line="276" w:lineRule="auto"/>
            </w:pPr>
            <w:r>
              <w:rPr>
                <w:rFonts w:ascii="Aptos" w:hAnsi="Aptos"/>
                <w:b/>
                <w:i w:val="0"/>
                <w:color w:val="17324D"/>
                <w:sz w:val="21"/>
              </w:rPr>
              <w:t xml:space="preserve">SOURCE PRIORITY  </w:t>
            </w:r>
            <w:r>
              <w:rPr>
                <w:rFonts w:ascii="Aptos" w:hAnsi="Aptos"/>
                <w:b w:val="0"/>
                <w:i w:val="0"/>
                <w:color w:val="202A33"/>
                <w:sz w:val="20"/>
              </w:rPr>
              <w:t>If sources conflict, identify the authority order. Example: “The attached protocol overrides README text; existing tests override comments.”</w:t>
            </w:r>
          </w:p>
        </w:tc>
      </w:tr>
    </w:tbl>
    <w:p>
      <w:pPr>
        <w:spacing w:after="40"/>
      </w:pPr>
    </w:p>
    <w:p>
      <w:pPr>
        <w:keepNext/>
        <w:spacing w:before="40" w:after="40" w:line="283" w:lineRule="auto"/>
      </w:pPr>
      <w:r>
        <w:rPr>
          <w:rFonts w:ascii="Aptos" w:hAnsi="Aptos"/>
          <w:b/>
          <w:i w:val="0"/>
          <w:color w:val="17324D"/>
          <w:sz w:val="21"/>
        </w:rPr>
        <w:t>Deliverable(s)</w:t>
      </w:r>
      <w:r>
        <w:rPr>
          <w:rFonts w:ascii="Aptos" w:hAnsi="Aptos"/>
          <w:b w:val="0"/>
          <w:i w:val="0"/>
          <w:color w:val="202A33"/>
          <w:sz w:val="21"/>
        </w:rPr>
        <w:t xml:space="preserve">  [Exact artifact, answer, change, or action expected; include format and location.]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4DE"/>
          <w:left w:val="single" w:sz="6" w:color="CAD4DE"/>
          <w:bottom w:val="single" w:sz="6" w:color="CAD4DE"/>
          <w:right w:val="single" w:sz="6" w:color="CAD4DE"/>
          <w:insideH w:val="single" w:sz="6" w:color="CAD4DE"/>
          <w:insideV w:val="single" w:sz="6" w:color="CAD4DE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/>
                <w:color w:val="77838F"/>
                <w:sz w:val="19"/>
              </w:rPr>
              <w:t>[Type here]</w:t>
            </w:r>
            <w:r>
              <w:br/>
            </w:r>
          </w:p>
        </w:tc>
      </w:tr>
    </w:tbl>
    <w:p>
      <w:pPr>
        <w:spacing w:after="40"/>
      </w:pPr>
    </w:p>
    <w:p>
      <w:pPr>
        <w:keepNext/>
        <w:spacing w:before="40" w:after="40" w:line="283" w:lineRule="auto"/>
      </w:pPr>
      <w:r>
        <w:rPr>
          <w:rFonts w:ascii="Aptos" w:hAnsi="Aptos"/>
          <w:b/>
          <w:i w:val="0"/>
          <w:color w:val="17324D"/>
          <w:sz w:val="21"/>
        </w:rPr>
        <w:t>Out of scope</w:t>
      </w:r>
      <w:r>
        <w:rPr>
          <w:rFonts w:ascii="Aptos" w:hAnsi="Aptos"/>
          <w:b w:val="0"/>
          <w:i w:val="0"/>
          <w:color w:val="202A33"/>
          <w:sz w:val="21"/>
        </w:rPr>
        <w:t xml:space="preserve">  [What should remain untouched or explicitly not be solved?]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4DE"/>
          <w:left w:val="single" w:sz="6" w:color="CAD4DE"/>
          <w:bottom w:val="single" w:sz="6" w:color="CAD4DE"/>
          <w:right w:val="single" w:sz="6" w:color="CAD4DE"/>
          <w:insideH w:val="single" w:sz="6" w:color="CAD4DE"/>
          <w:insideV w:val="single" w:sz="6" w:color="CAD4DE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/>
                <w:color w:val="77838F"/>
                <w:sz w:val="19"/>
              </w:rPr>
              <w:t>[Type here]</w:t>
            </w:r>
            <w:r>
              <w:br/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t>2. Execution contract</w:t>
      </w:r>
    </w:p>
    <w:p>
      <w:pPr>
        <w:spacing w:after="100" w:line="283" w:lineRule="auto"/>
      </w:pPr>
      <w:r>
        <w:rPr>
          <w:rFonts w:ascii="Aptos" w:hAnsi="Aptos"/>
          <w:b w:val="0"/>
          <w:i/>
          <w:color w:val="66717D"/>
          <w:sz w:val="19"/>
        </w:rPr>
        <w:t>Use this section to set autonomy, risk, quality, and communication expectations.</w:t>
      </w:r>
    </w:p>
    <w:p>
      <w:pPr>
        <w:keepNext/>
        <w:spacing w:before="40" w:after="40" w:line="283" w:lineRule="auto"/>
      </w:pPr>
      <w:r>
        <w:rPr>
          <w:rFonts w:ascii="Aptos" w:hAnsi="Aptos"/>
          <w:b/>
          <w:i w:val="0"/>
          <w:color w:val="17324D"/>
          <w:sz w:val="21"/>
        </w:rPr>
        <w:t>Success criteria</w:t>
      </w:r>
      <w:r>
        <w:rPr>
          <w:rFonts w:ascii="Aptos" w:hAnsi="Aptos"/>
          <w:b w:val="0"/>
          <w:i w:val="0"/>
          <w:color w:val="202A33"/>
          <w:sz w:val="21"/>
        </w:rPr>
        <w:t xml:space="preserve">  [Observable checks that distinguish complete from merely attempted.]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4DE"/>
          <w:left w:val="single" w:sz="6" w:color="CAD4DE"/>
          <w:bottom w:val="single" w:sz="6" w:color="CAD4DE"/>
          <w:right w:val="single" w:sz="6" w:color="CAD4DE"/>
          <w:insideH w:val="single" w:sz="6" w:color="CAD4DE"/>
          <w:insideV w:val="single" w:sz="6" w:color="CAD4DE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/>
                <w:color w:val="77838F"/>
                <w:sz w:val="19"/>
              </w:rPr>
              <w:t>[Type here]</w:t>
            </w:r>
            <w:r>
              <w:br/>
            </w:r>
          </w:p>
        </w:tc>
      </w:tr>
    </w:tbl>
    <w:p>
      <w:pPr>
        <w:spacing w:after="40"/>
      </w:pPr>
    </w:p>
    <w:p>
      <w:pPr>
        <w:keepNext/>
        <w:spacing w:before="40" w:after="40" w:line="283" w:lineRule="auto"/>
      </w:pPr>
      <w:r>
        <w:rPr>
          <w:rFonts w:ascii="Aptos" w:hAnsi="Aptos"/>
          <w:b/>
          <w:i w:val="0"/>
          <w:color w:val="17324D"/>
          <w:sz w:val="21"/>
        </w:rPr>
        <w:t>Constraints and invariants</w:t>
      </w:r>
      <w:r>
        <w:rPr>
          <w:rFonts w:ascii="Aptos" w:hAnsi="Aptos"/>
          <w:b w:val="0"/>
          <w:i w:val="0"/>
          <w:color w:val="202A33"/>
          <w:sz w:val="21"/>
        </w:rPr>
        <w:t xml:space="preserve">  [Must keep; must avoid; compatibility; style; performance; compliance; budget.]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4DE"/>
          <w:left w:val="single" w:sz="6" w:color="CAD4DE"/>
          <w:bottom w:val="single" w:sz="6" w:color="CAD4DE"/>
          <w:right w:val="single" w:sz="6" w:color="CAD4DE"/>
          <w:insideH w:val="single" w:sz="6" w:color="CAD4DE"/>
          <w:insideV w:val="single" w:sz="6" w:color="CAD4DE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/>
                <w:color w:val="77838F"/>
                <w:sz w:val="19"/>
              </w:rPr>
              <w:t>[Type here]</w:t>
            </w:r>
            <w:r>
              <w:br/>
            </w:r>
          </w:p>
        </w:tc>
      </w:tr>
    </w:tbl>
    <w:p>
      <w:pPr>
        <w:spacing w:after="40"/>
      </w:pPr>
    </w:p>
    <w:p>
      <w:pPr>
        <w:keepNext/>
        <w:spacing w:before="40" w:after="40" w:line="283" w:lineRule="auto"/>
      </w:pPr>
      <w:r>
        <w:rPr>
          <w:rFonts w:ascii="Aptos" w:hAnsi="Aptos"/>
          <w:b/>
          <w:i w:val="0"/>
          <w:color w:val="17324D"/>
          <w:sz w:val="21"/>
        </w:rPr>
        <w:t>Authority and permissions</w:t>
      </w:r>
      <w:r>
        <w:rPr>
          <w:rFonts w:ascii="Aptos" w:hAnsi="Aptos"/>
          <w:b w:val="0"/>
          <w:i w:val="0"/>
          <w:color w:val="202A33"/>
          <w:sz w:val="21"/>
        </w:rPr>
        <w:t xml:space="preserve">  [Actions allowed without asking; actions requiring approval.]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4DE"/>
          <w:left w:val="single" w:sz="6" w:color="CAD4DE"/>
          <w:bottom w:val="single" w:sz="6" w:color="CAD4DE"/>
          <w:right w:val="single" w:sz="6" w:color="CAD4DE"/>
          <w:insideH w:val="single" w:sz="6" w:color="CAD4DE"/>
          <w:insideV w:val="single" w:sz="6" w:color="CAD4DE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/>
                <w:color w:val="77838F"/>
                <w:sz w:val="19"/>
              </w:rPr>
              <w:t>[Type here]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4F81BD"/>
          <w:left w:val="single" w:sz="8" w:color="4F81BD"/>
          <w:bottom w:val="single" w:sz="8" w:color="4F81BD"/>
          <w:right w:val="single" w:sz="8" w:color="4F81BD"/>
          <w:insideH w:val="single" w:sz="8" w:color="4F81BD"/>
          <w:insideV w:val="single" w:sz="8" w:color="4F81BD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5F7"/>
          </w:tcPr>
          <w:p>
            <w:pPr>
              <w:spacing w:after="0" w:line="276" w:lineRule="auto"/>
            </w:pPr>
            <w:r>
              <w:rPr>
                <w:rFonts w:ascii="Aptos" w:hAnsi="Aptos"/>
                <w:b/>
                <w:i w:val="0"/>
                <w:color w:val="17324D"/>
                <w:sz w:val="21"/>
              </w:rPr>
              <w:t xml:space="preserve">GOOD DEFAULT  </w:t>
            </w:r>
            <w:r>
              <w:rPr>
                <w:rFonts w:ascii="Aptos" w:hAnsi="Aptos"/>
                <w:b w:val="0"/>
                <w:i w:val="0"/>
                <w:color w:val="202A33"/>
                <w:sz w:val="20"/>
              </w:rPr>
              <w:t>Allow read-only inspection and reversible in-scope edits. Require confirmation for destructive actions, external messages, purchases, publication, credential use, or scope expansion.</w:t>
            </w:r>
          </w:p>
        </w:tc>
      </w:tr>
    </w:tbl>
    <w:p>
      <w:pPr>
        <w:spacing w:after="40"/>
      </w:pPr>
    </w:p>
    <w:p>
      <w:pPr>
        <w:keepNext/>
        <w:spacing w:before="40" w:after="40" w:line="283" w:lineRule="auto"/>
      </w:pPr>
      <w:r>
        <w:rPr>
          <w:rFonts w:ascii="Aptos" w:hAnsi="Aptos"/>
          <w:b/>
          <w:i w:val="0"/>
          <w:color w:val="17324D"/>
          <w:sz w:val="21"/>
        </w:rPr>
        <w:t>Decision policy</w:t>
      </w:r>
      <w:r>
        <w:rPr>
          <w:rFonts w:ascii="Aptos" w:hAnsi="Aptos"/>
          <w:b w:val="0"/>
          <w:i w:val="0"/>
          <w:color w:val="202A33"/>
          <w:sz w:val="21"/>
        </w:rPr>
        <w:t xml:space="preserve">  [When details are missing, should Codex infer, present options, or pause?]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4DE"/>
          <w:left w:val="single" w:sz="6" w:color="CAD4DE"/>
          <w:bottom w:val="single" w:sz="6" w:color="CAD4DE"/>
          <w:right w:val="single" w:sz="6" w:color="CAD4DE"/>
          <w:insideH w:val="single" w:sz="6" w:color="CAD4DE"/>
          <w:insideV w:val="single" w:sz="6" w:color="CAD4DE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/>
                <w:color w:val="77838F"/>
                <w:sz w:val="19"/>
              </w:rPr>
              <w:t>[Type here]</w:t>
            </w:r>
          </w:p>
        </w:tc>
      </w:tr>
    </w:tbl>
    <w:p>
      <w:pPr>
        <w:spacing w:after="40"/>
      </w:pPr>
    </w:p>
    <w:p>
      <w:pPr>
        <w:keepNext/>
        <w:spacing w:before="40" w:after="40" w:line="283" w:lineRule="auto"/>
      </w:pPr>
      <w:r>
        <w:rPr>
          <w:rFonts w:ascii="Aptos" w:hAnsi="Aptos"/>
          <w:b/>
          <w:i w:val="0"/>
          <w:color w:val="17324D"/>
          <w:sz w:val="21"/>
        </w:rPr>
        <w:t>Verification</w:t>
      </w:r>
      <w:r>
        <w:rPr>
          <w:rFonts w:ascii="Aptos" w:hAnsi="Aptos"/>
          <w:b w:val="0"/>
          <w:i w:val="0"/>
          <w:color w:val="202A33"/>
          <w:sz w:val="21"/>
        </w:rPr>
        <w:t xml:space="preserve">  [Tests, renders, calculations, cross-checks, reviewers, or acceptance procedure.]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4DE"/>
          <w:left w:val="single" w:sz="6" w:color="CAD4DE"/>
          <w:bottom w:val="single" w:sz="6" w:color="CAD4DE"/>
          <w:right w:val="single" w:sz="6" w:color="CAD4DE"/>
          <w:insideH w:val="single" w:sz="6" w:color="CAD4DE"/>
          <w:insideV w:val="single" w:sz="6" w:color="CAD4DE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/>
                <w:color w:val="77838F"/>
                <w:sz w:val="19"/>
              </w:rPr>
              <w:t>[Type here]</w:t>
            </w:r>
          </w:p>
        </w:tc>
      </w:tr>
    </w:tbl>
    <w:p>
      <w:pPr>
        <w:spacing w:after="40"/>
      </w:pPr>
    </w:p>
    <w:p>
      <w:pPr>
        <w:keepNext/>
        <w:spacing w:before="40" w:after="40" w:line="283" w:lineRule="auto"/>
      </w:pPr>
      <w:r>
        <w:rPr>
          <w:rFonts w:ascii="Aptos" w:hAnsi="Aptos"/>
          <w:b/>
          <w:i w:val="0"/>
          <w:color w:val="17324D"/>
          <w:sz w:val="21"/>
        </w:rPr>
        <w:t>Communication</w:t>
      </w:r>
      <w:r>
        <w:rPr>
          <w:rFonts w:ascii="Aptos" w:hAnsi="Aptos"/>
          <w:b w:val="0"/>
          <w:i w:val="0"/>
          <w:color w:val="202A33"/>
          <w:sz w:val="21"/>
        </w:rPr>
        <w:t xml:space="preserve">  [Update frequency, desired explanation depth, and when to escalate blockers.]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4DE"/>
          <w:left w:val="single" w:sz="6" w:color="CAD4DE"/>
          <w:bottom w:val="single" w:sz="6" w:color="CAD4DE"/>
          <w:right w:val="single" w:sz="6" w:color="CAD4DE"/>
          <w:insideH w:val="single" w:sz="6" w:color="CAD4DE"/>
          <w:insideV w:val="single" w:sz="6" w:color="CAD4DE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/>
                <w:color w:val="77838F"/>
                <w:sz w:val="19"/>
              </w:rPr>
              <w:t>[Type here]</w:t>
            </w:r>
          </w:p>
        </w:tc>
      </w:tr>
    </w:tbl>
    <w:p>
      <w:pPr>
        <w:spacing w:after="40"/>
      </w:pPr>
    </w:p>
    <w:p>
      <w:pPr>
        <w:keepNext/>
        <w:spacing w:before="40" w:after="40" w:line="283" w:lineRule="auto"/>
      </w:pPr>
      <w:r>
        <w:rPr>
          <w:rFonts w:ascii="Aptos" w:hAnsi="Aptos"/>
          <w:b/>
          <w:i w:val="0"/>
          <w:color w:val="17324D"/>
          <w:sz w:val="21"/>
        </w:rPr>
        <w:t>Final handoff</w:t>
      </w:r>
      <w:r>
        <w:rPr>
          <w:rFonts w:ascii="Aptos" w:hAnsi="Aptos"/>
          <w:b w:val="0"/>
          <w:i w:val="0"/>
          <w:color w:val="202A33"/>
          <w:sz w:val="21"/>
        </w:rPr>
        <w:t xml:space="preserve">  [What the closing response must contain: links, summary, risks, commands, next steps.]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4DE"/>
          <w:left w:val="single" w:sz="6" w:color="CAD4DE"/>
          <w:bottom w:val="single" w:sz="6" w:color="CAD4DE"/>
          <w:right w:val="single" w:sz="6" w:color="CAD4DE"/>
          <w:insideH w:val="single" w:sz="6" w:color="CAD4DE"/>
          <w:insideV w:val="single" w:sz="6" w:color="CAD4DE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/>
                <w:color w:val="77838F"/>
                <w:sz w:val="19"/>
              </w:rPr>
              <w:t>[Type here]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3. Optional task modules</w:t>
      </w:r>
    </w:p>
    <w:p>
      <w:pPr>
        <w:spacing w:after="100" w:line="283" w:lineRule="auto"/>
      </w:pPr>
      <w:r>
        <w:rPr>
          <w:rFonts w:ascii="Aptos" w:hAnsi="Aptos"/>
          <w:b w:val="0"/>
          <w:i/>
          <w:color w:val="66717D"/>
          <w:sz w:val="19"/>
        </w:rPr>
        <w:t>Copy the relevant prompts into your brief. Skip modules that do not affect the result.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5"/>
          <w:left w:val="single" w:sz="6" w:color="D7DEE5"/>
          <w:bottom w:val="single" w:sz="6" w:color="D7DEE5"/>
          <w:right w:val="single" w:sz="6" w:color="D7DEE5"/>
          <w:insideH w:val="single" w:sz="6" w:color="D7DEE5"/>
          <w:insideV w:val="single" w:sz="6" w:color="D7DEE5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Use when</w:t>
            </w:r>
          </w:p>
        </w:tc>
        <w:tc>
          <w:tcPr>
            <w:tcW w:type="dxa" w:w="66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Add these details</w:t>
            </w:r>
          </w:p>
        </w:tc>
      </w:tr>
      <w:tr>
        <w:tc>
          <w:tcPr>
            <w:tcW w:type="dxa" w:w="27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ptos" w:hAnsi="Aptos"/>
                <w:b/>
                <w:i w:val="0"/>
                <w:color w:val="202A33"/>
                <w:sz w:val="17"/>
              </w:rPr>
              <w:t>Code / debugging</w:t>
            </w:r>
          </w:p>
        </w:tc>
        <w:tc>
          <w:tcPr>
            <w:tcW w:type="dxa" w:w="66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202A33"/>
                <w:sz w:val="17"/>
              </w:rPr>
              <w:t>Repository and branch; runtime; target behavior; reproduction steps; logs; compatibility; files not to touch; tests and performance limits.</w:t>
            </w:r>
          </w:p>
        </w:tc>
      </w:tr>
      <w:tr>
        <w:tc>
          <w:tcPr>
            <w:tcW w:type="dxa" w:w="2700"/>
            <w:shd w:fill="F8FAFC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ptos" w:hAnsi="Aptos"/>
                <w:b/>
                <w:i w:val="0"/>
                <w:color w:val="202A33"/>
                <w:sz w:val="17"/>
              </w:rPr>
              <w:t>Research / analysis</w:t>
            </w:r>
          </w:p>
        </w:tc>
        <w:tc>
          <w:tcPr>
            <w:tcW w:type="dxa" w:w="6660"/>
            <w:shd w:fill="F8FAFC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202A33"/>
                <w:sz w:val="17"/>
              </w:rPr>
              <w:t>Decision to support; date range; geography; acceptable sources; freshness; evidence standard; citation format; assumptions; comparison criteria.</w:t>
            </w:r>
          </w:p>
        </w:tc>
      </w:tr>
      <w:tr>
        <w:tc>
          <w:tcPr>
            <w:tcW w:type="dxa" w:w="27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ptos" w:hAnsi="Aptos"/>
                <w:b/>
                <w:i w:val="0"/>
                <w:color w:val="202A33"/>
                <w:sz w:val="17"/>
              </w:rPr>
              <w:t>Documents / slides</w:t>
            </w:r>
          </w:p>
        </w:tc>
        <w:tc>
          <w:tcPr>
            <w:tcW w:type="dxa" w:w="66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202A33"/>
                <w:sz w:val="17"/>
              </w:rPr>
              <w:t>Audience; purpose; source material; length; brand or visual reference; structure; tone; editable output format; render and layout requirements.</w:t>
            </w:r>
          </w:p>
        </w:tc>
      </w:tr>
      <w:tr>
        <w:tc>
          <w:tcPr>
            <w:tcW w:type="dxa" w:w="2700"/>
            <w:shd w:fill="F8FAFC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ptos" w:hAnsi="Aptos"/>
                <w:b/>
                <w:i w:val="0"/>
                <w:color w:val="202A33"/>
                <w:sz w:val="17"/>
              </w:rPr>
              <w:t>Data / spreadsheets</w:t>
            </w:r>
          </w:p>
        </w:tc>
        <w:tc>
          <w:tcPr>
            <w:tcW w:type="dxa" w:w="6660"/>
            <w:shd w:fill="F8FAFC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202A33"/>
                <w:sz w:val="17"/>
              </w:rPr>
              <w:t>Input schema; units; missing-value rules; transformations; formulas versus values; validation totals; charts; output schema; privacy constraints.</w:t>
            </w:r>
          </w:p>
        </w:tc>
      </w:tr>
      <w:tr>
        <w:tc>
          <w:tcPr>
            <w:tcW w:type="dxa" w:w="27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ptos" w:hAnsi="Aptos"/>
                <w:b/>
                <w:i w:val="0"/>
                <w:color w:val="202A33"/>
                <w:sz w:val="17"/>
              </w:rPr>
              <w:t>Images / design</w:t>
            </w:r>
          </w:p>
        </w:tc>
        <w:tc>
          <w:tcPr>
            <w:tcW w:type="dxa" w:w="66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202A33"/>
                <w:sz w:val="17"/>
              </w:rPr>
              <w:t>Use context; dimensions; style references; composition; required and forbidden elements; text accuracy; brand colors; file format; variants.</w:t>
            </w:r>
          </w:p>
        </w:tc>
      </w:tr>
      <w:tr>
        <w:tc>
          <w:tcPr>
            <w:tcW w:type="dxa" w:w="2700"/>
            <w:shd w:fill="F8FAFC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ptos" w:hAnsi="Aptos"/>
                <w:b/>
                <w:i w:val="0"/>
                <w:color w:val="202A33"/>
                <w:sz w:val="17"/>
              </w:rPr>
              <w:t>Browser / UI work</w:t>
            </w:r>
          </w:p>
        </w:tc>
        <w:tc>
          <w:tcPr>
            <w:tcW w:type="dxa" w:w="6660"/>
            <w:shd w:fill="F8FAFC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202A33"/>
                <w:sz w:val="17"/>
              </w:rPr>
              <w:t>Target URL or local app; account/session assumptions; exact user flow; browsers/viewports; permitted submissions; screenshot and evidence needs.</w:t>
            </w:r>
          </w:p>
        </w:tc>
      </w:tr>
      <w:tr>
        <w:tc>
          <w:tcPr>
            <w:tcW w:type="dxa" w:w="27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ptos" w:hAnsi="Aptos"/>
                <w:b/>
                <w:i w:val="0"/>
                <w:color w:val="202A33"/>
                <w:sz w:val="17"/>
              </w:rPr>
              <w:t>Automation / monitoring</w:t>
            </w:r>
          </w:p>
        </w:tc>
        <w:tc>
          <w:tcPr>
            <w:tcW w:type="dxa" w:w="66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202A33"/>
                <w:sz w:val="17"/>
              </w:rPr>
              <w:t>Trigger; cadence; timezone; inputs; action; notification target; deduplication; failure handling; stop condition; archive policy.</w:t>
            </w:r>
          </w:p>
        </w:tc>
      </w:tr>
      <w:tr>
        <w:tc>
          <w:tcPr>
            <w:tcW w:type="dxa" w:w="2700"/>
            <w:shd w:fill="F8FAFC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ptos" w:hAnsi="Aptos"/>
                <w:b/>
                <w:i w:val="0"/>
                <w:color w:val="202A33"/>
                <w:sz w:val="17"/>
              </w:rPr>
              <w:t>External systems</w:t>
            </w:r>
          </w:p>
        </w:tc>
        <w:tc>
          <w:tcPr>
            <w:tcW w:type="dxa" w:w="6660"/>
            <w:shd w:fill="F8FAFC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202A33"/>
                <w:sz w:val="17"/>
              </w:rPr>
              <w:t>Named service; account/workspace; records in scope; read versus write authority; recipients; draft versus send; audit trail; rollback plan.</w:t>
            </w:r>
          </w:p>
        </w:tc>
      </w:tr>
      <w:tr>
        <w:tc>
          <w:tcPr>
            <w:tcW w:type="dxa" w:w="27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ptos" w:hAnsi="Aptos"/>
                <w:b/>
                <w:i w:val="0"/>
                <w:color w:val="202A33"/>
                <w:sz w:val="17"/>
              </w:rPr>
              <w:t>High-risk domain</w:t>
            </w:r>
          </w:p>
        </w:tc>
        <w:tc>
          <w:tcPr>
            <w:tcW w:type="dxa" w:w="66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202A33"/>
                <w:sz w:val="17"/>
              </w:rPr>
              <w:t>Relevant jurisdiction or policy; professional-review requirement; prohibited actions; uncertainty threshold; authoritative sources; explicit approval gates.</w:t>
            </w:r>
          </w:p>
        </w:tc>
      </w:tr>
    </w:tbl>
    <w:p>
      <w:pPr>
        <w:pStyle w:val="Heading2"/>
        <w:keepNext/>
      </w:pPr>
      <w:r>
        <w:t>Useful preference switches</w:t>
      </w:r>
    </w:p>
    <w:p>
      <w:pPr>
        <w:spacing w:after="80" w:line="288" w:lineRule="auto"/>
        <w:numPr>
          <w:ilvl w:val="0"/>
          <w:numId w:val="900"/>
        </w:numPr>
      </w:pPr>
      <w:r>
        <w:rPr>
          <w:rFonts w:ascii="Aptos" w:hAnsi="Aptos"/>
          <w:b w:val="0"/>
          <w:i w:val="0"/>
          <w:color w:val="202A33"/>
          <w:sz w:val="19"/>
        </w:rPr>
        <w:t>Optimize for: [speed / correctness / maintainability / visual polish / cost / minimal change].</w:t>
      </w:r>
    </w:p>
    <w:p>
      <w:pPr>
        <w:spacing w:after="80" w:line="288" w:lineRule="auto"/>
        <w:numPr>
          <w:ilvl w:val="0"/>
          <w:numId w:val="900"/>
        </w:numPr>
      </w:pPr>
      <w:r>
        <w:rPr>
          <w:rFonts w:ascii="Aptos" w:hAnsi="Aptos"/>
          <w:b w:val="0"/>
          <w:i w:val="0"/>
          <w:color w:val="202A33"/>
          <w:sz w:val="19"/>
        </w:rPr>
        <w:t>Response style: [concise / explanatory / expert-level / tutorial].</w:t>
      </w:r>
    </w:p>
    <w:p>
      <w:pPr>
        <w:spacing w:after="80" w:line="288" w:lineRule="auto"/>
        <w:numPr>
          <w:ilvl w:val="0"/>
          <w:numId w:val="900"/>
        </w:numPr>
      </w:pPr>
      <w:r>
        <w:rPr>
          <w:rFonts w:ascii="Aptos" w:hAnsi="Aptos"/>
          <w:b w:val="0"/>
          <w:i w:val="0"/>
          <w:color w:val="202A33"/>
          <w:sz w:val="19"/>
        </w:rPr>
        <w:t>Tradeoffs: [choose the best default / show 2–3 options / preserve current approach].</w:t>
      </w:r>
    </w:p>
    <w:p>
      <w:pPr>
        <w:spacing w:after="80" w:line="288" w:lineRule="auto"/>
        <w:numPr>
          <w:ilvl w:val="0"/>
          <w:numId w:val="900"/>
        </w:numPr>
      </w:pPr>
      <w:r>
        <w:rPr>
          <w:rFonts w:ascii="Aptos" w:hAnsi="Aptos"/>
          <w:b w:val="0"/>
          <w:i w:val="0"/>
          <w:color w:val="202A33"/>
          <w:sz w:val="19"/>
        </w:rPr>
        <w:t>Progress: [work silently / send milestone updates / report each meaningful decision].</w:t>
      </w:r>
    </w:p>
    <w:p>
      <w:pPr>
        <w:spacing w:after="80" w:line="288" w:lineRule="auto"/>
        <w:numPr>
          <w:ilvl w:val="0"/>
          <w:numId w:val="900"/>
        </w:numPr>
      </w:pPr>
      <w:r>
        <w:rPr>
          <w:rFonts w:ascii="Aptos" w:hAnsi="Aptos"/>
          <w:b w:val="0"/>
          <w:i w:val="0"/>
          <w:color w:val="202A33"/>
          <w:sz w:val="19"/>
        </w:rPr>
        <w:t>Uncertainty: [state assumptions and continue / verify first / stop when confidence is below ___].</w:t>
      </w:r>
    </w:p>
    <w:p>
      <w:pPr>
        <w:pStyle w:val="Heading1"/>
        <w:keepNext/>
        <w:pageBreakBefore/>
      </w:pPr>
      <w:r>
        <w:t>4. Paste-ready master prompt</w:t>
      </w:r>
    </w:p>
    <w:p>
      <w:pPr>
        <w:spacing w:after="100" w:line="283" w:lineRule="auto"/>
      </w:pPr>
      <w:r>
        <w:rPr>
          <w:rFonts w:ascii="Aptos" w:hAnsi="Aptos"/>
          <w:b w:val="0"/>
          <w:i/>
          <w:color w:val="66717D"/>
          <w:sz w:val="19"/>
        </w:rPr>
        <w:t>Replace bracketed text and remove unused lines. This is the shortest complete version of the template.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17324D"/>
          <w:left w:val="single" w:sz="8" w:color="17324D"/>
          <w:bottom w:val="single" w:sz="8" w:color="17324D"/>
          <w:right w:val="single" w:sz="8" w:color="17324D"/>
          <w:insideH w:val="single" w:sz="8" w:color="17324D"/>
          <w:insideV w:val="single" w:sz="8" w:color="17324D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TASK</w:t>
            </w:r>
            <w:r>
              <w:br/>
            </w:r>
            <w:r>
              <w:rPr>
                <w:rFonts w:ascii="Aptos" w:hAnsi="Aptos"/>
                <w:b w:val="0"/>
                <w:i/>
                <w:color w:val="202A33"/>
                <w:sz w:val="18"/>
              </w:rPr>
              <w:t>[Name the task and describe the finished outcome.]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202A33"/>
                <w:sz w:val="18"/>
              </w:rPr>
            </w:r>
            <w:r>
              <w:br/>
            </w:r>
            <w:r>
              <w:rPr>
                <w:rFonts w:ascii="Aptos" w:hAnsi="Aptos"/>
                <w:b/>
                <w:i w:val="0"/>
                <w:color w:val="17324D"/>
                <w:sz w:val="18"/>
              </w:rPr>
              <w:t>CONTEXT</w:t>
            </w:r>
            <w:r>
              <w:br/>
            </w:r>
            <w:r>
              <w:rPr>
                <w:rFonts w:ascii="Aptos" w:hAnsi="Aptos"/>
                <w:b w:val="0"/>
                <w:i/>
                <w:color w:val="202A33"/>
                <w:sz w:val="18"/>
              </w:rPr>
              <w:t>[Explain why it matters, who it serves, the current state, and relevant history.]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202A33"/>
                <w:sz w:val="18"/>
              </w:rPr>
            </w:r>
            <w:r>
              <w:br/>
            </w:r>
            <w:r>
              <w:rPr>
                <w:rFonts w:ascii="Aptos" w:hAnsi="Aptos"/>
                <w:b/>
                <w:i w:val="0"/>
                <w:color w:val="17324D"/>
                <w:sz w:val="18"/>
              </w:rPr>
              <w:t>INPUTS</w:t>
            </w:r>
            <w:r>
              <w:br/>
            </w:r>
            <w:r>
              <w:rPr>
                <w:rFonts w:ascii="Aptos" w:hAnsi="Aptos"/>
                <w:b w:val="0"/>
                <w:i/>
                <w:color w:val="202A33"/>
                <w:sz w:val="18"/>
              </w:rPr>
              <w:t>[Attach or list files, links, examples, data, and sources. State source priority if they conflict.]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202A33"/>
                <w:sz w:val="18"/>
              </w:rPr>
            </w:r>
            <w:r>
              <w:br/>
            </w:r>
            <w:r>
              <w:rPr>
                <w:rFonts w:ascii="Aptos" w:hAnsi="Aptos"/>
                <w:b/>
                <w:i w:val="0"/>
                <w:color w:val="17324D"/>
                <w:sz w:val="18"/>
              </w:rPr>
              <w:t>DELIVERABLES</w:t>
            </w:r>
            <w:r>
              <w:br/>
            </w:r>
            <w:r>
              <w:rPr>
                <w:rFonts w:ascii="Aptos" w:hAnsi="Aptos"/>
                <w:b w:val="0"/>
                <w:i/>
                <w:color w:val="202A33"/>
                <w:sz w:val="18"/>
              </w:rPr>
              <w:t>[Specify artifacts or actions, formats, locations, and expected final handoff.]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202A33"/>
                <w:sz w:val="18"/>
              </w:rPr>
            </w:r>
            <w:r>
              <w:br/>
            </w:r>
            <w:r>
              <w:rPr>
                <w:rFonts w:ascii="Aptos" w:hAnsi="Aptos"/>
                <w:b/>
                <w:i w:val="0"/>
                <w:color w:val="17324D"/>
                <w:sz w:val="18"/>
              </w:rPr>
              <w:t>SCOPE AND CONSTRAINTS</w:t>
            </w:r>
            <w:r>
              <w:br/>
            </w:r>
            <w:r>
              <w:rPr>
                <w:rFonts w:ascii="Aptos" w:hAnsi="Aptos"/>
                <w:b w:val="0"/>
                <w:i/>
                <w:color w:val="202A33"/>
                <w:sz w:val="18"/>
              </w:rPr>
              <w:t>[State what is in scope, out of scope, must remain unchanged, and any deadline, compatibility, style, cost, privacy, or policy limits.]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202A33"/>
                <w:sz w:val="18"/>
              </w:rPr>
            </w:r>
            <w:r>
              <w:br/>
            </w:r>
            <w:r>
              <w:rPr>
                <w:rFonts w:ascii="Aptos" w:hAnsi="Aptos"/>
                <w:b/>
                <w:i w:val="0"/>
                <w:color w:val="17324D"/>
                <w:sz w:val="18"/>
              </w:rPr>
              <w:t>AUTHORITY</w:t>
            </w:r>
            <w:r>
              <w:br/>
            </w:r>
            <w:r>
              <w:rPr>
                <w:rFonts w:ascii="Aptos" w:hAnsi="Aptos"/>
                <w:b w:val="0"/>
                <w:i/>
                <w:color w:val="202A33"/>
                <w:sz w:val="18"/>
              </w:rPr>
              <w:t>[State what you may do without asking and what requires approval.]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202A33"/>
                <w:sz w:val="18"/>
              </w:rPr>
            </w:r>
            <w:r>
              <w:br/>
            </w:r>
            <w:r>
              <w:rPr>
                <w:rFonts w:ascii="Aptos" w:hAnsi="Aptos"/>
                <w:b/>
                <w:i w:val="0"/>
                <w:color w:val="17324D"/>
                <w:sz w:val="18"/>
              </w:rPr>
              <w:t>WORKING POLICY</w:t>
            </w:r>
            <w:r>
              <w:br/>
            </w:r>
            <w:r>
              <w:rPr>
                <w:rFonts w:ascii="Aptos" w:hAnsi="Aptos"/>
                <w:b w:val="0"/>
                <w:i/>
                <w:color w:val="202A33"/>
                <w:sz w:val="18"/>
              </w:rPr>
              <w:t>[State whether to infer reasonable details, offer options, or pause. Tell me how often to update you.]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202A33"/>
                <w:sz w:val="18"/>
              </w:rPr>
            </w:r>
            <w:r>
              <w:br/>
            </w:r>
            <w:r>
              <w:rPr>
                <w:rFonts w:ascii="Aptos" w:hAnsi="Aptos"/>
                <w:b/>
                <w:i w:val="0"/>
                <w:color w:val="17324D"/>
                <w:sz w:val="18"/>
              </w:rPr>
              <w:t>QUALITY BAR AND VERIFICATION</w:t>
            </w:r>
            <w:r>
              <w:br/>
            </w:r>
            <w:r>
              <w:rPr>
                <w:rFonts w:ascii="Aptos" w:hAnsi="Aptos"/>
                <w:b w:val="0"/>
                <w:i/>
                <w:color w:val="202A33"/>
                <w:sz w:val="18"/>
              </w:rPr>
              <w:t>[Define success criteria, required tests or checks, and what “done” means.]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202A33"/>
                <w:sz w:val="18"/>
              </w:rPr>
            </w:r>
            <w:r>
              <w:br/>
            </w:r>
            <w:r>
              <w:rPr>
                <w:rFonts w:ascii="Aptos" w:hAnsi="Aptos"/>
                <w:b/>
                <w:i w:val="0"/>
                <w:color w:val="17324D"/>
                <w:sz w:val="18"/>
              </w:rPr>
              <w:t>OPTIONAL TASK-SPECIFIC DETAILS</w:t>
            </w:r>
            <w:r>
              <w:br/>
            </w:r>
            <w:r>
              <w:rPr>
                <w:rFonts w:ascii="Aptos" w:hAnsi="Aptos"/>
                <w:b w:val="0"/>
                <w:i/>
                <w:color w:val="202A33"/>
                <w:sz w:val="18"/>
              </w:rPr>
              <w:t>[Add only the relevant module details from page 4.]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202A33"/>
                <w:sz w:val="18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202A33"/>
                <w:sz w:val="18"/>
              </w:rPr>
              <w:t>Please inspect the available context first, make reasonable in-scope assumptions explicit, complete and verify the work, and finish with a concise handoff covering the outcome, changed artifacts, verification performed, remaining risks, and the most useful next step.</w:t>
            </w:r>
          </w:p>
        </w:tc>
      </w:tr>
    </w:tbl>
    <w:p>
      <w:pPr>
        <w:pStyle w:val="Heading1"/>
        <w:keepNext/>
      </w:pPr>
      <w:r>
        <w:t>Pre-send check</w:t>
      </w:r>
    </w:p>
    <w:p>
      <w:pPr>
        <w:spacing w:after="80" w:line="288" w:lineRule="auto"/>
        <w:numPr>
          <w:ilvl w:val="0"/>
          <w:numId w:val="902"/>
        </w:numPr>
      </w:pPr>
      <w:r>
        <w:rPr>
          <w:rFonts w:ascii="Aptos" w:hAnsi="Aptos"/>
          <w:b w:val="0"/>
          <w:i w:val="0"/>
          <w:color w:val="202A33"/>
          <w:sz w:val="21"/>
        </w:rPr>
        <w:t>The finished outcome is concrete and observable.</w:t>
      </w:r>
    </w:p>
    <w:p>
      <w:pPr>
        <w:spacing w:after="80" w:line="288" w:lineRule="auto"/>
        <w:numPr>
          <w:ilvl w:val="0"/>
          <w:numId w:val="902"/>
        </w:numPr>
      </w:pPr>
      <w:r>
        <w:rPr>
          <w:rFonts w:ascii="Aptos" w:hAnsi="Aptos"/>
          <w:b w:val="0"/>
          <w:i w:val="0"/>
          <w:color w:val="202A33"/>
          <w:sz w:val="21"/>
        </w:rPr>
        <w:t>All necessary inputs are attached or locatable.</w:t>
      </w:r>
    </w:p>
    <w:p>
      <w:pPr>
        <w:spacing w:after="80" w:line="288" w:lineRule="auto"/>
        <w:numPr>
          <w:ilvl w:val="0"/>
          <w:numId w:val="902"/>
        </w:numPr>
      </w:pPr>
      <w:r>
        <w:rPr>
          <w:rFonts w:ascii="Aptos" w:hAnsi="Aptos"/>
          <w:b w:val="0"/>
          <w:i w:val="0"/>
          <w:color w:val="202A33"/>
          <w:sz w:val="21"/>
        </w:rPr>
        <w:t>Scope, protected areas, and approval gates are explicit.</w:t>
      </w:r>
    </w:p>
    <w:p>
      <w:pPr>
        <w:spacing w:after="80" w:line="288" w:lineRule="auto"/>
        <w:numPr>
          <w:ilvl w:val="0"/>
          <w:numId w:val="902"/>
        </w:numPr>
      </w:pPr>
      <w:r>
        <w:rPr>
          <w:rFonts w:ascii="Aptos" w:hAnsi="Aptos"/>
          <w:b w:val="0"/>
          <w:i w:val="0"/>
          <w:color w:val="202A33"/>
          <w:sz w:val="21"/>
        </w:rPr>
        <w:t>The quality bar and verification method are stated.</w:t>
      </w:r>
    </w:p>
    <w:p>
      <w:pPr>
        <w:spacing w:after="80" w:line="288" w:lineRule="auto"/>
        <w:numPr>
          <w:ilvl w:val="0"/>
          <w:numId w:val="902"/>
        </w:numPr>
      </w:pPr>
      <w:r>
        <w:rPr>
          <w:rFonts w:ascii="Aptos" w:hAnsi="Aptos"/>
          <w:b w:val="0"/>
          <w:i w:val="0"/>
          <w:color w:val="202A33"/>
          <w:sz w:val="21"/>
        </w:rPr>
        <w:t>Optional detail is included only where it changes execution.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ptos" w:hAnsi="Aptos"/>
        <w:b w:val="0"/>
        <w:i w:val="0"/>
        <w:color w:val="66717D"/>
        <w:sz w:val="17"/>
      </w:rPr>
      <w:t xml:space="preserve">PAGE </w:t>
    </w:r>
    <w:r>
      <w:rPr>
        <w:rFonts w:ascii="Aptos" w:hAnsi="Aptos"/>
        <w:b w:val="0"/>
        <w:i w:val="0"/>
        <w:color w:val="66717D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ptos" w:hAnsi="Aptos"/>
        <w:b/>
        <w:i w:val="0"/>
        <w:color w:val="66717D"/>
        <w:sz w:val="17"/>
      </w:rPr>
      <w:t>OPTIMAL TASK BRIEF  /  REUSABLE DIRECTIVE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900">
    <w:abstractNumId w:val="900"/>
  </w:num>
  <w:abstractNum w:abstractNumId="90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901">
    <w:abstractNumId w:val="901"/>
  </w:num>
  <w:abstractNum w:abstractNumId="90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902">
    <w:abstractNumId w:val="9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 w:updateFields="true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202A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 Display" w:hAnsi="Aptos Display"/>
      <w:b w:val="0"/>
      <w:i/>
      <w:iCs/>
      <w:color w:val="66717D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Optimal Task Brief</dc:title>
  <dc:subject>Reusable directive template for briefing Codex effectively</dc:subject>
  <dc:creator>Codex</dc:creator>
  <cp:keywords>task brief, prompt template, directive, Codex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