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Temasek Polytechnic</w:t>
      </w:r>
      <w:r w:rsidRPr="00000000" w:rsidR="00000000" w:rsidDel="00000000">
        <w:rPr>
          <w:rtl w:val="0"/>
        </w:rPr>
      </w:r>
    </w:p>
    <w:p w:rsidP="00000000" w:rsidRPr="00000000" w:rsidR="00000000" w:rsidDel="00000000" w:rsidRDefault="00000000">
      <w:pPr>
        <w:pStyle w:val="Title"/>
        <w:keepNext w:val="1"/>
        <w:keepLines w:val="1"/>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School of Informatics and IT </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32"/>
          <w:rtl w:val="0"/>
        </w:rPr>
        <w:t xml:space="preserve">Diploma in Information Technology (IT)</w:t>
      </w:r>
      <w:r w:rsidRPr="00000000" w:rsidR="00000000" w:rsidDel="00000000">
        <w:rPr>
          <w:rtl w:val="0"/>
        </w:rPr>
      </w:r>
    </w:p>
    <w:p w:rsidP="00000000" w:rsidRPr="00000000" w:rsidR="00000000" w:rsidDel="00000000" w:rsidRDefault="00000000">
      <w:pPr>
        <w:pStyle w:val="Heading3"/>
        <w:keepNext w:val="1"/>
        <w:keepLines w:val="1"/>
        <w:widowControl w:val="0"/>
        <w:spacing w:lineRule="auto" w:after="60" w:line="240" w:before="120"/>
        <w:contextualSpacing w:val="0"/>
        <w:jc w:val="center"/>
        <w:rPr/>
      </w:pPr>
      <w:r w:rsidRPr="00000000" w:rsidR="00000000" w:rsidDel="00000000">
        <w:rPr>
          <w:rFonts w:cs="Arial" w:hAnsi="Arial" w:eastAsia="Arial" w:ascii="Arial"/>
          <w:b w:val="0"/>
          <w:i w:val="1"/>
          <w:color w:val="000000"/>
          <w:sz w:val="20"/>
          <w:rtl w:val="0"/>
        </w:rPr>
        <w:t xml:space="preserve">AY2013/2014 Oct Semester Level 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360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44"/>
          <w:rtl w:val="0"/>
        </w:rPr>
        <w:t xml:space="preserve">MP Week 9 Meeting Minutes 1</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tbl>
      <w:tblGrid>
        <w:gridCol w:w="1470"/>
        <w:gridCol w:w="3105"/>
        <w:gridCol w:w="3581"/>
        <w:gridCol w:w="1199"/>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06/02//2014</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Venue: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IT3-5-58</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Present:</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Yeak Shaw Wen (Mr.)</w:t>
            </w:r>
          </w:p>
          <w:p w:rsidP="00000000" w:rsidRPr="00000000" w:rsidR="00000000" w:rsidDel="00000000" w:rsidRDefault="00000000">
            <w:pPr>
              <w:widowControl w:val="0"/>
              <w:contextualSpacing w:val="0"/>
              <w:rPr/>
            </w:pPr>
            <w:r w:rsidRPr="00000000" w:rsidR="00000000" w:rsidDel="00000000">
              <w:rPr>
                <w:rtl w:val="0"/>
              </w:rPr>
              <w:t xml:space="preserve">Lim Yi Han (Mr.)</w:t>
            </w:r>
          </w:p>
          <w:p w:rsidP="00000000" w:rsidRPr="00000000" w:rsidR="00000000" w:rsidDel="00000000" w:rsidRDefault="00000000">
            <w:pPr>
              <w:widowControl w:val="0"/>
              <w:contextualSpacing w:val="0"/>
              <w:rPr/>
            </w:pPr>
            <w:r w:rsidRPr="00000000" w:rsidR="00000000" w:rsidDel="00000000">
              <w:rPr>
                <w:rtl w:val="0"/>
              </w:rPr>
              <w:t xml:space="preserve">Philbert Tan Jin Kiat (Mr.)</w:t>
            </w:r>
          </w:p>
          <w:p w:rsidP="00000000" w:rsidRPr="00000000" w:rsidR="00000000" w:rsidDel="00000000" w:rsidRDefault="00000000">
            <w:pPr>
              <w:widowControl w:val="0"/>
              <w:contextualSpacing w:val="0"/>
            </w:pPr>
            <w:r w:rsidRPr="00000000" w:rsidR="00000000" w:rsidDel="00000000">
              <w:rPr>
                <w:rtl w:val="0"/>
              </w:rPr>
              <w:t xml:space="preserve">Cheng Jun Ming (Mr.)</w:t>
              <w:br w:type="textWrapping"/>
              <w:t xml:space="preserve">Wei Xiang (Mr.)</w:t>
            </w:r>
          </w:p>
          <w:p w:rsidP="00000000" w:rsidRPr="00000000" w:rsidR="00000000" w:rsidDel="00000000" w:rsidRDefault="00000000">
            <w:pPr>
              <w:widowControl w:val="0"/>
              <w:contextualSpacing w:val="0"/>
              <w:rPr/>
            </w:pPr>
            <w:r w:rsidRPr="00000000" w:rsidR="00000000" w:rsidDel="00000000">
              <w:rPr>
                <w:rtl w:val="0"/>
              </w:rPr>
              <w:t xml:space="preserve">Sembawang Secondary School Clients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Supervisor</w:t>
            </w:r>
          </w:p>
          <w:p w:rsidP="00000000" w:rsidRPr="00000000" w:rsidR="00000000" w:rsidDel="00000000" w:rsidRDefault="00000000">
            <w:pPr>
              <w:widowControl w:val="0"/>
              <w:contextualSpacing w:val="0"/>
              <w:rPr/>
            </w:pPr>
            <w:r w:rsidRPr="00000000" w:rsidR="00000000" w:rsidDel="00000000">
              <w:rPr>
                <w:rtl w:val="0"/>
              </w:rPr>
              <w:t xml:space="preserve">Team Leader</w:t>
            </w:r>
          </w:p>
          <w:p w:rsidP="00000000" w:rsidRPr="00000000" w:rsidR="00000000" w:rsidDel="00000000" w:rsidRDefault="00000000">
            <w:pPr>
              <w:widowControl w:val="0"/>
              <w:contextualSpacing w:val="0"/>
              <w:rPr/>
            </w:pPr>
            <w:r w:rsidRPr="00000000" w:rsidR="00000000" w:rsidDel="00000000">
              <w:rPr>
                <w:rtl w:val="0"/>
              </w:rPr>
              <w:t xml:space="preserve">Team Member</w:t>
            </w:r>
          </w:p>
          <w:p w:rsidP="00000000" w:rsidRPr="00000000" w:rsidR="00000000" w:rsidDel="00000000" w:rsidRDefault="00000000">
            <w:pPr>
              <w:widowControl w:val="0"/>
              <w:contextualSpacing w:val="0"/>
              <w:rPr/>
            </w:pPr>
            <w:r w:rsidRPr="00000000" w:rsidR="00000000" w:rsidDel="00000000">
              <w:rPr>
                <w:rtl w:val="0"/>
              </w:rPr>
              <w:t xml:space="preserve">Team Member</w:t>
            </w:r>
          </w:p>
          <w:p w:rsidP="00000000" w:rsidRPr="00000000" w:rsidR="00000000" w:rsidDel="00000000" w:rsidRDefault="00000000">
            <w:pPr>
              <w:widowControl w:val="0"/>
              <w:contextualSpacing w:val="0"/>
            </w:pPr>
            <w:r w:rsidRPr="00000000" w:rsidR="00000000" w:rsidDel="00000000">
              <w:rPr>
                <w:rtl w:val="0"/>
              </w:rPr>
              <w:t xml:space="preserve">Team Member</w:t>
            </w:r>
          </w:p>
          <w:p w:rsidP="00000000" w:rsidRPr="00000000" w:rsidR="00000000" w:rsidDel="00000000" w:rsidRDefault="00000000">
            <w:pPr>
              <w:widowControl w:val="0"/>
              <w:contextualSpacing w:val="0"/>
            </w:pPr>
            <w:r w:rsidRPr="00000000" w:rsidR="00000000" w:rsidDel="00000000">
              <w:rPr>
                <w:rtl w:val="0"/>
              </w:rPr>
              <w:t xml:space="preserve">Clients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 </w:t>
            </w:r>
          </w:p>
        </w:tc>
      </w:tr>
      <w:tr>
        <w:trPr>
          <w:trHeight w:val="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Absent with apologies: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270.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60"/>
        <w:gridCol w:w="6420"/>
        <w:gridCol w:w="1890"/>
      </w:tblGrid>
      <w:tr>
        <w:trPr>
          <w:trHeight w:val="58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S/No</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u w:val="single"/>
                <w:rtl w:val="0"/>
              </w:rPr>
              <w:t xml:space="preserve">Item</w:t>
            </w:r>
          </w:p>
          <w:p w:rsidP="00000000" w:rsidRPr="00000000" w:rsidR="00000000" w:rsidDel="00000000" w:rsidRDefault="00000000">
            <w:pPr>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u w:val="single"/>
                <w:rtl w:val="0"/>
              </w:rPr>
              <w:t xml:space="preserve">Action By</w:t>
            </w:r>
          </w:p>
        </w:tc>
      </w:tr>
      <w:tr>
        <w:trPr>
          <w:trHeight w:val="16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Meeting started at 02:23 pm</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r>
        <w:trPr>
          <w:trHeight w:val="116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 1.</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sz w:val="24"/>
                <w:highlight w:val="white"/>
                <w:u w:val="single"/>
                <w:rtl w:val="0"/>
              </w:rPr>
              <w:t xml:space="preserve">Discussion before presentation</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The Supervisor asked the Clients about the meeting with Health Promotion Board and what’s the outcome of the meeting.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highlight w:val="white"/>
                <w:rtl w:val="0"/>
              </w:rPr>
              <w:t xml:space="preserve">The Client replied that the data for the food calories is unavailable currently after their meeting discussion with the Health promotion Board who is unable to provide the list of food calories data. They added on that the food calories data cannot be used for the Healthy Plate due to Health promotion Board not able to provide the data as they need to go through testing and trial &amp; error. They continued to mention that this is the reason why they have come up with an idea to turn the healthy plate into a game concept which follows the Health Promotion Board guidelines, something like the “Cooking Mama” game for Primary School Kids, or purely for educational purposes which they had done up a short presentation slide to showcase the idea which will requires the team’s creativity and skills to propose something or make it more interactive.</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rPr>
          <w:trHeight w:val="11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highlight w:val="white"/>
                <w:u w:val="single"/>
                <w:rtl w:val="0"/>
              </w:rPr>
              <w:t xml:space="preserve">Discussion after presentation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Client said that the bmi portion is similar to what they have think of, changing the image all this which is good. However, they had also said that Health Promotion Board had informed them not to make the weight tracker function available to Primary School Kids as they do not want to give Primary School Kids the wrong idea that keeping weight  is important, sending them the wrong message as they want the primary school kiddy to grow healthily. They requested whether the team can disable the function for the weight tracker for the primary school kids.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Supervisor asked the team whether that can be done given the limited timing of two weeks.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Weixiang replied that the function can be easily done as it required a short fix only.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Client requested the team to add in a desired weight loss/ gain with the BMI to better indicate to the users how much more they need to achieved to loss or gain weight. They provided a bmi chart list taken from Health promotion Board and request the team to refer to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Supervisor asked the team whether the BMI chart given by the client is the same as what the team is referring right 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Team replied that it is the same from Health Promotion Board  but the internet source they found is in the form of a chart. They also replied that adding in a desired weight loss/ gain should not be a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Clients raised concerns with regards to the Activity Tracker as the data we have may not be accurate. Furthermore, Health Promotion Board (HPB) is not able to provide the Clients with suitable data that are catered to the age group of 6-18. The Clients also suggested that the Activity Tracker can be shown in the form of a pie chart. The pie chart will serve as an indication as of how many hours of activities has the student done, the type of activities as well as the intensity of the activity. They mentioned that it is possible to keep the Activity Tracker since it can also be used by the teachers and staffs in the school. They then mentioned that the calculation of the calories burned in the Activity Tracker can be removed and presented in another way since there are a wide variety of exercise mobile applications in the current market.  They also mentioned that the Diet Diary can be replaced with the Food diary and Food composition table due to Health promotion Board unable to get the calories data for the type of food. Also, they replied that by having to show the food composition for different food, it will allow the Client to help the user understand the nutritional value of the food, which will be easier to show in their phones and tablets. Next, they mentioned that the Diet Tracker proposed by the team was good, but the main issue is the lacking of accurate data. They mentioned that they wished to integrate a simple drag and drop game with informative pop-up screen to educate the users on on the food consumed. The Clients also mentioned that the current Diet Tracker is not able to be projected in a Healthy Plate manner.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Supervisor then mentioned that the implementation of the game may not be feasible due to the time span life for this project.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Clients then mentioned that the ‘My Healthy Plate’ with general information alongside with guides and tips are their priority.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Supervisor then mentioned that the implementation of the interactive game can be passed on to the next group of students who are doing major project in June.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highlight w:val="white"/>
                <w:rtl w:val="0"/>
              </w:rPr>
              <w:t xml:space="preserve">The Client complimented that the team had done well for the mobile application and looked forward to the prototype.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Meeting ended at 04:00 pm</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Recorded by: Lim Yi Han, Philbert Tan Jin Kiat, Cheng Jun Ming, Wei Xiang</w:t>
      </w:r>
    </w:p>
    <w:p w:rsidP="00000000" w:rsidRPr="00000000" w:rsidR="00000000" w:rsidDel="00000000" w:rsidRDefault="00000000">
      <w:pPr>
        <w:widowControl w:val="0"/>
        <w:contextualSpacing w:val="0"/>
      </w:pPr>
      <w:r w:rsidRPr="00000000" w:rsidR="00000000" w:rsidDel="00000000">
        <w:rPr>
          <w:sz w:val="24"/>
          <w:rtl w:val="0"/>
        </w:rPr>
        <w:t xml:space="preserve">Vetted by: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10/2/2014.docx</dc:title>
</cp:coreProperties>
</file>