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828">
        <w:rPr>
          <w:rFonts w:ascii="Times New Roman" w:hAnsi="Times New Roman" w:cs="Times New Roman"/>
          <w:b/>
          <w:sz w:val="28"/>
          <w:szCs w:val="28"/>
        </w:rPr>
        <w:t>9</w:t>
      </w:r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0B28" w:rsidRPr="009A0B28">
        <w:rPr>
          <w:rFonts w:ascii="Times New Roman" w:hAnsi="Times New Roman" w:cs="Times New Roman"/>
          <w:sz w:val="28"/>
          <w:szCs w:val="28"/>
        </w:rPr>
        <w:t>Измерения в сопровождении программного обеспечения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A0B28"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производить измерения в сопровождении программного обеспечения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</w:p>
    <w:p w:rsid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Теоретические сведения</w:t>
      </w:r>
    </w:p>
    <w:p w:rsidR="009A0B28" w:rsidRPr="009A0B28" w:rsidRDefault="009A0B28" w:rsidP="009A0B2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Измерения в сопровождении программного обеспечения (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Software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Maintenance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Measurement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). </w:t>
      </w: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и данные измерений в процессе сопровождения могут объединяться в единую программу корпоративную программу количественных оценок, проводимых в отношении программного обеспечения. Многие организации используют популярный и практичный подход для измерений, базирующийся на оценке количества проблем и статуса их решений (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issue-driven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measurement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Идеи этого подхода систематизированы в проекте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Practical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Systems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Measurement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(PSM). </w:t>
      </w:r>
    </w:p>
    <w:p w:rsidR="009A0B28" w:rsidRPr="009A0B28" w:rsidRDefault="009A0B28" w:rsidP="009A0B2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общие (для всего жизненного цикла) метрики и, соответственно, их категории, в частности, определяемые Институтом Программной Инженерии университета Карнеги-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Меллон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Carnegie-Mellon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University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SEI CMU): размер, усилия, расписание и качество. Применение этих метрик является хорошей отправной точкой для оценки работ со стороны организации, отвечающей за сопровождение.</w:t>
      </w:r>
    </w:p>
    <w:p w:rsidR="009A0B28" w:rsidRPr="009A0B28" w:rsidRDefault="009A0B28" w:rsidP="009A0B2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Специализированные метрики (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Specific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Measures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). </w:t>
      </w: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методы внутренней оценки продуктивности (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benchmarking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персонала сопровождения для сравнения работы различных групп сопровождения. Организация, ведущая сопровождение, должна определить метрики, по которым будут оцениваться соответствующие работы. </w:t>
      </w:r>
      <w:proofErr w:type="gram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Стандарты IEEE 1219 (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Maintenance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) и ISO/IEC 9126-01 (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Quality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Part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1:</w:t>
      </w:r>
      <w:proofErr w:type="gram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Quality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2001 г.) предлагают специализированные метрики, ориентированные именно на </w:t>
      </w: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вопросы сопровождения и соответствующие программы.</w:t>
      </w:r>
      <w:proofErr w:type="gramEnd"/>
    </w:p>
    <w:p w:rsidR="009A0B28" w:rsidRPr="009A0B28" w:rsidRDefault="009A0B28" w:rsidP="009A0B2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B2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Типичные метрики оценки работ по сопровождению</w:t>
      </w:r>
      <w:r w:rsidRPr="009A0B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4218"/>
      </w:tblGrid>
      <w:tr w:rsidR="009A0B28" w:rsidRPr="009A0B28" w:rsidTr="00197A0F">
        <w:tc>
          <w:tcPr>
            <w:tcW w:w="5353" w:type="dxa"/>
          </w:tcPr>
          <w:p w:rsidR="009A0B28" w:rsidRPr="009A0B28" w:rsidRDefault="009A0B28" w:rsidP="009A0B28">
            <w:pPr>
              <w:widowControl w:val="0"/>
              <w:numPr>
                <w:ilvl w:val="0"/>
                <w:numId w:val="33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9A0B28">
              <w:rPr>
                <w:sz w:val="24"/>
                <w:szCs w:val="24"/>
                <w:u w:val="single"/>
              </w:rPr>
              <w:t>Анализируемость</w:t>
            </w:r>
            <w:proofErr w:type="spellEnd"/>
            <w:r w:rsidRPr="009A0B28">
              <w:rPr>
                <w:sz w:val="24"/>
                <w:szCs w:val="24"/>
              </w:rPr>
              <w:t xml:space="preserve"> (</w:t>
            </w:r>
            <w:proofErr w:type="spellStart"/>
            <w:r w:rsidRPr="009A0B28">
              <w:rPr>
                <w:sz w:val="24"/>
                <w:szCs w:val="24"/>
              </w:rPr>
              <w:t>Analyzability</w:t>
            </w:r>
            <w:proofErr w:type="spellEnd"/>
            <w:r w:rsidRPr="009A0B28">
              <w:rPr>
                <w:sz w:val="24"/>
                <w:szCs w:val="24"/>
              </w:rPr>
              <w:t>): оценка (в первую очередь, дополнительных) усилий или ресурсов, необходимых для диагностики недостатков или причин сбоев, а также для идентификации тех фрагментов программной системы, которые должны быть модифицированы.</w:t>
            </w:r>
          </w:p>
          <w:p w:rsidR="009A0B28" w:rsidRPr="009A0B28" w:rsidRDefault="009A0B28" w:rsidP="009A0B28">
            <w:pPr>
              <w:widowControl w:val="0"/>
              <w:numPr>
                <w:ilvl w:val="0"/>
                <w:numId w:val="33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  <w:u w:val="single"/>
              </w:rPr>
              <w:t>Изменяемость</w:t>
            </w:r>
            <w:r w:rsidRPr="009A0B28">
              <w:rPr>
                <w:sz w:val="24"/>
                <w:szCs w:val="24"/>
              </w:rPr>
              <w:t xml:space="preserve"> (</w:t>
            </w:r>
            <w:proofErr w:type="spellStart"/>
            <w:r w:rsidRPr="009A0B28">
              <w:rPr>
                <w:sz w:val="24"/>
                <w:szCs w:val="24"/>
              </w:rPr>
              <w:t>Changeability</w:t>
            </w:r>
            <w:proofErr w:type="spellEnd"/>
            <w:r w:rsidRPr="009A0B28">
              <w:rPr>
                <w:sz w:val="24"/>
                <w:szCs w:val="24"/>
              </w:rPr>
              <w:t>): оценка усилий, необходимых для проведения заданных модификаций.</w:t>
            </w:r>
          </w:p>
        </w:tc>
        <w:tc>
          <w:tcPr>
            <w:tcW w:w="4218" w:type="dxa"/>
          </w:tcPr>
          <w:p w:rsidR="009A0B28" w:rsidRPr="009A0B28" w:rsidRDefault="009A0B28" w:rsidP="009A0B28">
            <w:pPr>
              <w:widowControl w:val="0"/>
              <w:numPr>
                <w:ilvl w:val="0"/>
                <w:numId w:val="33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  <w:u w:val="single"/>
              </w:rPr>
              <w:t>Стабильность</w:t>
            </w:r>
            <w:r w:rsidRPr="009A0B28">
              <w:rPr>
                <w:sz w:val="24"/>
                <w:szCs w:val="24"/>
              </w:rPr>
              <w:t xml:space="preserve"> (</w:t>
            </w:r>
            <w:proofErr w:type="spellStart"/>
            <w:r w:rsidRPr="009A0B28">
              <w:rPr>
                <w:sz w:val="24"/>
                <w:szCs w:val="24"/>
              </w:rPr>
              <w:t>Stability</w:t>
            </w:r>
            <w:proofErr w:type="spellEnd"/>
            <w:r w:rsidRPr="009A0B28">
              <w:rPr>
                <w:sz w:val="24"/>
                <w:szCs w:val="24"/>
              </w:rPr>
              <w:t>): оценка случаев непредусмотренного поведения системы, включая ситуации, обнаруженные в процессе тестирования.</w:t>
            </w:r>
          </w:p>
          <w:p w:rsidR="009A0B28" w:rsidRPr="009A0B28" w:rsidRDefault="009A0B28" w:rsidP="009A0B28">
            <w:pPr>
              <w:widowControl w:val="0"/>
              <w:numPr>
                <w:ilvl w:val="0"/>
                <w:numId w:val="33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  <w:u w:val="single"/>
              </w:rPr>
              <w:t>Тестируемость</w:t>
            </w:r>
            <w:r w:rsidRPr="009A0B28">
              <w:rPr>
                <w:sz w:val="24"/>
                <w:szCs w:val="24"/>
              </w:rPr>
              <w:t xml:space="preserve"> (</w:t>
            </w:r>
            <w:proofErr w:type="spellStart"/>
            <w:r w:rsidRPr="009A0B28">
              <w:rPr>
                <w:sz w:val="24"/>
                <w:szCs w:val="24"/>
              </w:rPr>
              <w:t>Testability</w:t>
            </w:r>
            <w:proofErr w:type="spellEnd"/>
            <w:r w:rsidRPr="009A0B28">
              <w:rPr>
                <w:sz w:val="24"/>
                <w:szCs w:val="24"/>
              </w:rPr>
              <w:t>): оценка усилий персонала сопровождения и пользователей по тестированию модифицированного программного обеспечения.</w:t>
            </w:r>
          </w:p>
        </w:tc>
      </w:tr>
    </w:tbl>
    <w:p w:rsidR="009A0B28" w:rsidRDefault="009A0B28" w:rsidP="009A0B2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A0B28" w:rsidRPr="009A0B28" w:rsidRDefault="009A0B28" w:rsidP="009A0B2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Анализ ресурсов. </w:t>
      </w: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Последним элементом стратегии сопровождения программного средства является анализ ресурсов. Сразу же после установления области сопровождения и организации, проводящей его, должны быть определены требования к персоналу сопровождения, среде сопровождения и финансовым ресурсам. Требования к ресурсам сопровождения программного средства обычно устанавливает заказчик при помощи поставщика (разработчика). При этом должны быть определены </w:t>
      </w:r>
      <w:r w:rsidRPr="009A0B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ресурсам персонала сопровождения, среды и финансов.</w:t>
      </w:r>
    </w:p>
    <w:tbl>
      <w:tblPr>
        <w:tblStyle w:val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551"/>
        <w:gridCol w:w="2694"/>
      </w:tblGrid>
      <w:tr w:rsidR="009A0B28" w:rsidRPr="009A0B28" w:rsidTr="00197A0F">
        <w:tc>
          <w:tcPr>
            <w:tcW w:w="3936" w:type="dxa"/>
          </w:tcPr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 xml:space="preserve">1. </w:t>
            </w:r>
            <w:r w:rsidRPr="009A0B28">
              <w:rPr>
                <w:sz w:val="24"/>
                <w:szCs w:val="24"/>
                <w:u w:val="single"/>
              </w:rPr>
              <w:t>Ресурсы персонала</w:t>
            </w:r>
            <w:r w:rsidRPr="009A0B28">
              <w:rPr>
                <w:sz w:val="24"/>
                <w:szCs w:val="24"/>
              </w:rPr>
              <w:t>. Одной из главных частей планирования сопровождения программного средства является планирование требований к ресурсам сопровождения. Требования к персоналу являются основным фактором, определяющим стоимость сопровождения, но в то же время точная их оценка достаточно трудна. При оценке ресурсов для сопровождения программного средства обычно применяют два основных метода: параметрические модели и использование практических (опытных) знаний.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Для моделей требуются архивные практические данные. Лучшие результаты дает использование практических знаний при наличии соответствующих архивных опытных данных.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 xml:space="preserve">При этом предполагают, что для оценки сопровождения используют стандартную установленную методологию. Должно быть проведено отдельное исследование штатного состава персонала сопровождения на основе </w:t>
            </w:r>
            <w:proofErr w:type="gramStart"/>
            <w:r w:rsidRPr="009A0B28">
              <w:rPr>
                <w:sz w:val="24"/>
                <w:szCs w:val="24"/>
              </w:rPr>
              <w:t>применения методологии определения ресурсов персонала</w:t>
            </w:r>
            <w:proofErr w:type="gramEnd"/>
            <w:r w:rsidRPr="009A0B28">
              <w:rPr>
                <w:sz w:val="24"/>
                <w:szCs w:val="24"/>
              </w:rPr>
              <w:t xml:space="preserve"> и выдачи соответствующих результатов.</w:t>
            </w:r>
          </w:p>
        </w:tc>
        <w:tc>
          <w:tcPr>
            <w:tcW w:w="2551" w:type="dxa"/>
          </w:tcPr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 xml:space="preserve">2. </w:t>
            </w:r>
            <w:r w:rsidRPr="009A0B28">
              <w:rPr>
                <w:sz w:val="24"/>
                <w:szCs w:val="24"/>
                <w:u w:val="single"/>
              </w:rPr>
              <w:t>Ресурсы среды</w:t>
            </w:r>
            <w:r w:rsidRPr="009A0B28">
              <w:rPr>
                <w:sz w:val="24"/>
                <w:szCs w:val="24"/>
              </w:rPr>
              <w:t>. При разработке и сопровождении программного средства проводят ряд специальных работ, для выполнения которых необходимы отдельные системы. Предполагают наличие отдельных сред программной инженерии (СПИ) и сред тестирования программного средства (СТПС). Сопроводитель должен помогать заказчику при создании плана для среды сопровождения. Данное требование является критичным при формировании среды сопровождения и должно быть учтено при предварительном планировании выделяемых фондов и финансовых сре</w:t>
            </w:r>
            <w:proofErr w:type="gramStart"/>
            <w:r w:rsidRPr="009A0B28">
              <w:rPr>
                <w:sz w:val="24"/>
                <w:szCs w:val="24"/>
              </w:rPr>
              <w:t>дств дл</w:t>
            </w:r>
            <w:proofErr w:type="gramEnd"/>
            <w:r w:rsidRPr="009A0B28">
              <w:rPr>
                <w:sz w:val="24"/>
                <w:szCs w:val="24"/>
              </w:rPr>
              <w:t>я разработки и сопровождения программного продукта.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 xml:space="preserve">3. </w:t>
            </w:r>
            <w:r w:rsidRPr="009A0B28">
              <w:rPr>
                <w:sz w:val="24"/>
                <w:szCs w:val="24"/>
                <w:u w:val="single"/>
              </w:rPr>
              <w:t xml:space="preserve">Финансовые ресурсы. </w:t>
            </w:r>
            <w:r w:rsidRPr="009A0B28">
              <w:rPr>
                <w:sz w:val="24"/>
                <w:szCs w:val="24"/>
              </w:rPr>
              <w:t xml:space="preserve">Третьим и последним аспектом ресурсов являются финансовые ресурсы. Для обеспечения эффективного сопровождения программного продукта сопроводитель должен получить финансирование </w:t>
            </w:r>
            <w:proofErr w:type="gramStart"/>
            <w:r w:rsidRPr="009A0B28">
              <w:rPr>
                <w:sz w:val="24"/>
                <w:szCs w:val="24"/>
              </w:rPr>
              <w:t>для</w:t>
            </w:r>
            <w:proofErr w:type="gramEnd"/>
            <w:r w:rsidRPr="009A0B28">
              <w:rPr>
                <w:sz w:val="24"/>
                <w:szCs w:val="24"/>
              </w:rPr>
              <w:t>: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- выплаты зарплаты персоналу;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- обучения персонала (2 - 3 недели в год на каждого человека);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- ежегодного возобновления лицензий на сопровождение программных средств;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- командировок;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- публикации (издания) соответствующих материалов;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- технических и программных средств СПИ и СТПС;</w:t>
            </w:r>
          </w:p>
          <w:p w:rsidR="009A0B28" w:rsidRPr="009A0B28" w:rsidRDefault="009A0B28" w:rsidP="009A0B28">
            <w:pPr>
              <w:widowControl w:val="0"/>
              <w:jc w:val="both"/>
              <w:rPr>
                <w:sz w:val="24"/>
                <w:szCs w:val="24"/>
              </w:rPr>
            </w:pPr>
            <w:r w:rsidRPr="009A0B28">
              <w:rPr>
                <w:sz w:val="24"/>
                <w:szCs w:val="24"/>
              </w:rPr>
              <w:t>- модернизации технических и программных средств СПИ и СТПС.</w:t>
            </w:r>
          </w:p>
        </w:tc>
      </w:tr>
    </w:tbl>
    <w:p w:rsidR="009A0B28" w:rsidRPr="009A0B28" w:rsidRDefault="009A0B28" w:rsidP="009A0B28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Задания</w:t>
      </w:r>
    </w:p>
    <w:p w:rsidR="009A0B28" w:rsidRPr="009A0B28" w:rsidRDefault="009A0B28" w:rsidP="009A0B28">
      <w:pPr>
        <w:widowControl w:val="0"/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Изучите теоретический материал</w:t>
      </w:r>
    </w:p>
    <w:p w:rsidR="009A0B28" w:rsidRPr="009A0B28" w:rsidRDefault="009A0B28" w:rsidP="009A0B28">
      <w:pPr>
        <w:widowControl w:val="0"/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Составьте таблицу:</w:t>
      </w:r>
    </w:p>
    <w:tbl>
      <w:tblPr>
        <w:tblStyle w:val="44"/>
        <w:tblW w:w="8788" w:type="dxa"/>
        <w:jc w:val="center"/>
        <w:tblInd w:w="534" w:type="dxa"/>
        <w:tblLook w:val="04A0" w:firstRow="1" w:lastRow="0" w:firstColumn="1" w:lastColumn="0" w:noHBand="0" w:noVBand="1"/>
      </w:tblPr>
      <w:tblGrid>
        <w:gridCol w:w="1560"/>
        <w:gridCol w:w="2977"/>
        <w:gridCol w:w="4251"/>
      </w:tblGrid>
      <w:tr w:rsidR="009A0B28" w:rsidRPr="009A0B28" w:rsidTr="00197A0F">
        <w:trPr>
          <w:jc w:val="center"/>
        </w:trPr>
        <w:tc>
          <w:tcPr>
            <w:tcW w:w="1560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Метрика</w:t>
            </w:r>
          </w:p>
        </w:tc>
        <w:tc>
          <w:tcPr>
            <w:tcW w:w="2977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Характеристика метрики</w:t>
            </w:r>
          </w:p>
        </w:tc>
        <w:tc>
          <w:tcPr>
            <w:tcW w:w="4251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 xml:space="preserve">Описание метрики для своего ПП </w:t>
            </w:r>
          </w:p>
        </w:tc>
      </w:tr>
      <w:tr w:rsidR="009A0B28" w:rsidRPr="009A0B28" w:rsidTr="00197A0F">
        <w:trPr>
          <w:jc w:val="center"/>
        </w:trPr>
        <w:tc>
          <w:tcPr>
            <w:tcW w:w="1560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251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9A0B28" w:rsidRPr="009A0B28" w:rsidTr="00197A0F">
        <w:trPr>
          <w:jc w:val="center"/>
        </w:trPr>
        <w:tc>
          <w:tcPr>
            <w:tcW w:w="1560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251" w:type="dxa"/>
          </w:tcPr>
          <w:p w:rsidR="009A0B28" w:rsidRPr="009A0B28" w:rsidRDefault="009A0B28" w:rsidP="009A0B28">
            <w:pPr>
              <w:widowControl w:val="0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9A0B28" w:rsidRPr="009A0B28" w:rsidRDefault="009A0B28" w:rsidP="009A0B28">
      <w:pPr>
        <w:widowControl w:val="0"/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Проведите анализ ресурсов </w:t>
      </w:r>
      <w:proofErr w:type="gramStart"/>
      <w:r w:rsidRPr="009A0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вашего</w:t>
      </w:r>
      <w:proofErr w:type="gramEnd"/>
      <w:r w:rsidRPr="009A0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9A0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 соответствии с предложенным планом</w:t>
      </w:r>
    </w:p>
    <w:p w:rsidR="009A0B28" w:rsidRDefault="009A0B28" w:rsidP="009A0B28">
      <w:pPr>
        <w:widowControl w:val="0"/>
        <w:spacing w:after="0" w:line="360" w:lineRule="auto"/>
        <w:ind w:left="1005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9A0B28" w:rsidRPr="009A0B28" w:rsidRDefault="009A0B28" w:rsidP="009A0B28">
      <w:pPr>
        <w:widowControl w:val="0"/>
        <w:spacing w:after="0" w:line="360" w:lineRule="auto"/>
        <w:ind w:left="1005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Форма отчёта</w:t>
      </w:r>
    </w:p>
    <w:p w:rsidR="009A0B28" w:rsidRPr="009A0B28" w:rsidRDefault="009A0B28" w:rsidP="009A0B28">
      <w:pPr>
        <w:widowControl w:val="0"/>
        <w:spacing w:after="0" w:line="360" w:lineRule="auto"/>
        <w:ind w:left="10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Конспект, таблица, ответы на вопросы.</w:t>
      </w:r>
    </w:p>
    <w:p w:rsidR="00BF5B61" w:rsidRDefault="00BF5B6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bookmarkStart w:id="0" w:name="_GoBack"/>
      <w:bookmarkEnd w:id="0"/>
    </w:p>
    <w:p w:rsidR="00375F48" w:rsidRPr="00375F48" w:rsidRDefault="00375F48" w:rsidP="00375F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:rsidR="009A0B28" w:rsidRPr="009A0B28" w:rsidRDefault="009A0B28" w:rsidP="009A0B28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используют подходы для измерений?</w:t>
      </w:r>
    </w:p>
    <w:p w:rsidR="009A0B28" w:rsidRPr="009A0B28" w:rsidRDefault="009A0B28" w:rsidP="009A0B28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используются метрики для оценки работ по сопровождению?</w:t>
      </w:r>
    </w:p>
    <w:p w:rsidR="009A0B28" w:rsidRPr="009A0B28" w:rsidRDefault="009A0B28" w:rsidP="009A0B28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Опишите каждую из них</w:t>
      </w:r>
    </w:p>
    <w:p w:rsidR="00202166" w:rsidRPr="00002EDB" w:rsidRDefault="00202166" w:rsidP="003C2F2A">
      <w:pPr>
        <w:spacing w:after="0" w:line="360" w:lineRule="auto"/>
        <w:ind w:firstLine="709"/>
        <w:jc w:val="both"/>
        <w:rPr>
          <w:color w:val="000000"/>
        </w:rPr>
      </w:pPr>
    </w:p>
    <w:sectPr w:rsidR="00202166" w:rsidRPr="00002EDB" w:rsidSect="004C625A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8AB" w:rsidRDefault="00BE28AB">
      <w:pPr>
        <w:spacing w:after="0" w:line="240" w:lineRule="auto"/>
      </w:pPr>
      <w:r>
        <w:separator/>
      </w:r>
    </w:p>
  </w:endnote>
  <w:endnote w:type="continuationSeparator" w:id="0">
    <w:p w:rsidR="00BE28AB" w:rsidRDefault="00BE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8AB" w:rsidRDefault="00BE28AB">
      <w:pPr>
        <w:spacing w:after="0" w:line="240" w:lineRule="auto"/>
      </w:pPr>
      <w:r>
        <w:separator/>
      </w:r>
    </w:p>
  </w:footnote>
  <w:footnote w:type="continuationSeparator" w:id="0">
    <w:p w:rsidR="00BE28AB" w:rsidRDefault="00BE2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70630"/>
    <w:multiLevelType w:val="hybridMultilevel"/>
    <w:tmpl w:val="32ECE3E6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D7449"/>
    <w:multiLevelType w:val="multilevel"/>
    <w:tmpl w:val="B15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57DFF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649A4"/>
    <w:multiLevelType w:val="multilevel"/>
    <w:tmpl w:val="DAF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569D3"/>
    <w:multiLevelType w:val="hybridMultilevel"/>
    <w:tmpl w:val="474806E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407D51"/>
    <w:multiLevelType w:val="hybridMultilevel"/>
    <w:tmpl w:val="B776B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4">
    <w:nsid w:val="477D47B1"/>
    <w:multiLevelType w:val="hybridMultilevel"/>
    <w:tmpl w:val="4552E586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1C237B"/>
    <w:multiLevelType w:val="multilevel"/>
    <w:tmpl w:val="CF5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2142DF"/>
    <w:multiLevelType w:val="multilevel"/>
    <w:tmpl w:val="522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463E48"/>
    <w:multiLevelType w:val="hybridMultilevel"/>
    <w:tmpl w:val="8E6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7D245F"/>
    <w:multiLevelType w:val="multilevel"/>
    <w:tmpl w:val="ACA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632726"/>
    <w:multiLevelType w:val="hybridMultilevel"/>
    <w:tmpl w:val="1B8C1AA8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F226D3"/>
    <w:multiLevelType w:val="multilevel"/>
    <w:tmpl w:val="325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A53417"/>
    <w:multiLevelType w:val="hybridMultilevel"/>
    <w:tmpl w:val="E6B8B592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4FECA9B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952DA4"/>
    <w:multiLevelType w:val="hybridMultilevel"/>
    <w:tmpl w:val="5F28E88E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3CC255D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8">
    <w:nsid w:val="743E39D2"/>
    <w:multiLevelType w:val="hybridMultilevel"/>
    <w:tmpl w:val="F2E24ABE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"/>
  </w:num>
  <w:num w:numId="8">
    <w:abstractNumId w:val="18"/>
  </w:num>
  <w:num w:numId="9">
    <w:abstractNumId w:val="8"/>
  </w:num>
  <w:num w:numId="10">
    <w:abstractNumId w:val="30"/>
  </w:num>
  <w:num w:numId="11">
    <w:abstractNumId w:val="3"/>
  </w:num>
  <w:num w:numId="12">
    <w:abstractNumId w:val="23"/>
  </w:num>
  <w:num w:numId="13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7"/>
  </w:num>
  <w:num w:numId="17">
    <w:abstractNumId w:val="2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2"/>
  </w:num>
  <w:num w:numId="23">
    <w:abstractNumId w:val="11"/>
  </w:num>
  <w:num w:numId="24">
    <w:abstractNumId w:val="5"/>
  </w:num>
  <w:num w:numId="25">
    <w:abstractNumId w:val="19"/>
  </w:num>
  <w:num w:numId="26">
    <w:abstractNumId w:val="4"/>
  </w:num>
  <w:num w:numId="27">
    <w:abstractNumId w:val="21"/>
  </w:num>
  <w:num w:numId="28">
    <w:abstractNumId w:val="16"/>
  </w:num>
  <w:num w:numId="29">
    <w:abstractNumId w:val="15"/>
  </w:num>
  <w:num w:numId="30">
    <w:abstractNumId w:val="14"/>
  </w:num>
  <w:num w:numId="31">
    <w:abstractNumId w:val="20"/>
  </w:num>
  <w:num w:numId="32">
    <w:abstractNumId w:val="10"/>
  </w:num>
  <w:num w:numId="33">
    <w:abstractNumId w:val="28"/>
  </w:num>
  <w:num w:numId="34">
    <w:abstractNumId w:val="27"/>
  </w:num>
  <w:num w:numId="35">
    <w:abstractNumId w:val="25"/>
  </w:num>
  <w:num w:numId="36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0182"/>
    <w:rsid w:val="00066643"/>
    <w:rsid w:val="00093FE2"/>
    <w:rsid w:val="000A69A0"/>
    <w:rsid w:val="000F0D69"/>
    <w:rsid w:val="00172540"/>
    <w:rsid w:val="001C4441"/>
    <w:rsid w:val="001E6E4C"/>
    <w:rsid w:val="00202166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C4DB3"/>
    <w:rsid w:val="004C625A"/>
    <w:rsid w:val="004D09E6"/>
    <w:rsid w:val="004D6F51"/>
    <w:rsid w:val="005F78B4"/>
    <w:rsid w:val="00653B92"/>
    <w:rsid w:val="00681FBD"/>
    <w:rsid w:val="006D7001"/>
    <w:rsid w:val="006E625B"/>
    <w:rsid w:val="007039EA"/>
    <w:rsid w:val="00722A57"/>
    <w:rsid w:val="00741C51"/>
    <w:rsid w:val="0077052A"/>
    <w:rsid w:val="007917F5"/>
    <w:rsid w:val="00793523"/>
    <w:rsid w:val="0084622E"/>
    <w:rsid w:val="008B7C9D"/>
    <w:rsid w:val="00912476"/>
    <w:rsid w:val="00925343"/>
    <w:rsid w:val="009A0B28"/>
    <w:rsid w:val="00A40486"/>
    <w:rsid w:val="00A45F21"/>
    <w:rsid w:val="00AC7C20"/>
    <w:rsid w:val="00AE3953"/>
    <w:rsid w:val="00AE4209"/>
    <w:rsid w:val="00BA53CF"/>
    <w:rsid w:val="00BA6828"/>
    <w:rsid w:val="00BE28AB"/>
    <w:rsid w:val="00BF5B61"/>
    <w:rsid w:val="00C32A93"/>
    <w:rsid w:val="00C3395A"/>
    <w:rsid w:val="00CB3D92"/>
    <w:rsid w:val="00CB6738"/>
    <w:rsid w:val="00D41284"/>
    <w:rsid w:val="00DB3D85"/>
    <w:rsid w:val="00DC1FFC"/>
    <w:rsid w:val="00DD4C5C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table" w:customStyle="1" w:styleId="35">
    <w:name w:val="Сетка таблицы3"/>
    <w:basedOn w:val="a6"/>
    <w:next w:val="af0"/>
    <w:uiPriority w:val="59"/>
    <w:rsid w:val="009A0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6"/>
    <w:next w:val="af0"/>
    <w:uiPriority w:val="59"/>
    <w:rsid w:val="009A0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table" w:customStyle="1" w:styleId="35">
    <w:name w:val="Сетка таблицы3"/>
    <w:basedOn w:val="a6"/>
    <w:next w:val="af0"/>
    <w:uiPriority w:val="59"/>
    <w:rsid w:val="009A0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6"/>
    <w:next w:val="af0"/>
    <w:uiPriority w:val="59"/>
    <w:rsid w:val="009A0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2021-01-08T17:55:00Z</dcterms:created>
  <dcterms:modified xsi:type="dcterms:W3CDTF">2021-01-08T17:58:00Z</dcterms:modified>
</cp:coreProperties>
</file>