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teacherdelete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sms.teacherdelete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teacherdelete</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 can be fired accessed from admin panel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teacherdelete()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teacherdelete</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teacherdelete()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teacherdelete</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delet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delet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delet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