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162235" w:val="clear"/>
          </w:tcPr>
          <w:p>
            <w:pPr>
              <w:spacing w:before="4092"/>
            </w:pPr>
          </w:p>
          <w:p>
            <w:pPr>
              <w:pBdr>
                <w:bottom w:val="single" w:color="37DCF2" w:sz="6" w:space="8"/>
              </w:pBdr>
              <w:spacing w:after="500"/>
              <w:ind w:left="1200" w:right="800"/>
            </w:pPr>
            <w:r>
              <w:rPr>
                <w:rFonts w:ascii="Arial" w:eastAsia="SimHei"/>
                <w:color w:val="37DCF2"/>
                <w:spacing w:val="40"/>
                <w:sz w:val="18"/>
                <w:szCs w:val="18"/>
              </w:rPr>
              <w:t xml:space="preserve">P  L  A  T  F  O  R  M     D  E  S  I  G  N     P  L  A  Y  B  O  O  K</w:t>
            </w:r>
          </w:p>
          <w:p>
            <w:pPr>
              <w:spacing w:after="100" w:line="920" w:lineRule="atLeast"/>
              <w:ind w:left="1200"/>
            </w:pPr>
            <w:r>
              <w:rPr>
                <w:rFonts w:ascii="Arial" w:eastAsia="SimHei"/>
                <w:b/>
                <w:bCs/>
                <w:color w:val="FFFFFF"/>
                <w:sz w:val="80"/>
                <w:szCs w:val="80"/>
              </w:rPr>
              <w:t xml:space="preserve">Reporting UI/UX Best</w:t>
            </w:r>
          </w:p>
          <w:p>
            <w:pPr>
              <w:spacing w:after="300" w:line="920" w:lineRule="atLeast"/>
              <w:ind w:left="1200"/>
            </w:pPr>
            <w:r>
              <w:rPr>
                <w:rFonts w:ascii="Arial" w:eastAsia="SimHei"/>
                <w:b/>
                <w:bCs/>
                <w:color w:val="FFFFFF"/>
                <w:sz w:val="80"/>
                <w:szCs w:val="80"/>
              </w:rPr>
              <w:t xml:space="preserve">Practices</w:t>
            </w:r>
          </w:p>
          <w:p>
            <w:pPr>
              <w:spacing w:after="800"/>
              <w:ind w:left="1200" w:right="800"/>
            </w:pPr>
            <w:r>
              <w:rPr>
                <w:rFonts w:ascii="Arial" w:eastAsia="Microsoft YaHei"/>
                <w:color w:val="B0B8C0"/>
                <w:sz w:val="24"/>
                <w:szCs w:val="24"/>
              </w:rPr>
              <w:t xml:space="preserve">How the reports and interface patterns of the Massapro Content Wizz platform were built, and the rules that keep them consistent</w:t>
            </w:r>
          </w:p>
          <w:p>
            <w:pPr>
              <w:pBdr>
                <w:left w:val="single" w:color="37DCF2" w:sz="8" w:space="12"/>
              </w:pBdr>
              <w:spacing w:after="80"/>
              <w:ind w:left="1400" w:right="800"/>
            </w:pPr>
            <w:r>
              <w:rPr>
                <w:rFonts w:ascii="Arial" w:eastAsia="Microsoft YaHei"/>
                <w:color w:val="90989F"/>
                <w:sz w:val="24"/>
                <w:szCs w:val="24"/>
              </w:rPr>
              <w:t xml:space="preserve">Platform: Massapro Content Wizz (content.massapro.com)</w:t>
            </w:r>
          </w:p>
          <w:p>
            <w:pPr>
              <w:pBdr>
                <w:left w:val="single" w:color="37DCF2" w:sz="8" w:space="12"/>
              </w:pBdr>
              <w:spacing w:after="80"/>
              <w:ind w:left="1400" w:right="800"/>
            </w:pPr>
            <w:r>
              <w:rPr>
                <w:rFonts w:ascii="Arial" w:eastAsia="Microsoft YaHei"/>
                <w:color w:val="90989F"/>
                <w:sz w:val="24"/>
                <w:szCs w:val="24"/>
              </w:rPr>
              <w:t xml:space="preserve">Method: Pattern extraction from the shipped component sources</w:t>
            </w:r>
          </w:p>
          <w:p>
            <w:pPr>
              <w:pBdr>
                <w:left w:val="single" w:color="37DCF2" w:sz="8" w:space="12"/>
              </w:pBdr>
              <w:spacing w:after="80"/>
              <w:ind w:left="1400" w:right="800"/>
            </w:pPr>
            <w:r>
              <w:rPr>
                <w:rFonts w:ascii="Arial" w:eastAsia="Microsoft YaHei"/>
                <w:color w:val="90989F"/>
                <w:sz w:val="24"/>
                <w:szCs w:val="24"/>
              </w:rPr>
              <w:t xml:space="preserve">Companion volume to: Reporting Capabilities Audit (October 2026)</w:t>
            </w:r>
          </w:p>
          <w:p>
            <w:pPr>
              <w:pBdr>
                <w:left w:val="single" w:color="37DCF2" w:sz="8" w:space="12"/>
              </w:pBdr>
              <w:spacing w:after="80"/>
              <w:ind w:left="1400" w:right="800"/>
            </w:pPr>
            <w:r>
              <w:rPr>
                <w:rFonts w:ascii="Arial" w:eastAsia="Microsoft YaHei"/>
                <w:color w:val="90989F"/>
                <w:sz w:val="24"/>
                <w:szCs w:val="24"/>
              </w:rPr>
              <w:t xml:space="preserve">Date: October 9, 2026</w:t>
            </w:r>
          </w:p>
          <w:p>
            <w:pPr>
              <w:spacing w:before="4092"/>
            </w:pPr>
          </w:p>
          <w:p>
            <w:pPr>
              <w:pBdr>
                <w:top w:val="single" w:color="37DCF2" w:sz="2" w:space="8"/>
              </w:pBdr>
              <w:spacing w:before="200"/>
              <w:ind w:left="1200" w:right="800"/>
            </w:pPr>
            <w:r>
              <w:rPr>
                <w:rFonts w:ascii="Arial"/>
                <w:color w:val="687078"/>
                <w:sz w:val="16"/>
                <w:szCs w:val="16"/>
              </w:rPr>
              <w:t xml:space="preserve">Massapro</w:t>
            </w:r>
            <w:r>
              <w:t xml:space="preserve">                                        </w:t>
            </w:r>
            <w:r>
              <w:rPr>
                <w:rFonts w:ascii="Arial"/>
                <w:color w:val="687078"/>
                <w:sz w:val="16"/>
                <w:szCs w:val="16"/>
              </w:rPr>
              <w:t xml:space="preserve">Internal use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235"/>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Scope, Sources and Method</w:t>
          </w:r>
          <w:r>
            <w:tab/>
          </w:r>
          <w:r>
            <w:t>2</w:t>
          </w:r>
        </w:p>
        <w:p>
          <w:pPr>
            <w:pStyle w:val="9"/>
            <w:tabs>
              <w:tab w:val="right" w:leader="dot" w:pos="9026"/>
            </w:tabs>
            <w:spacing w:before="120" w:after="60"/>
          </w:pPr>
          <w:r>
            <w:t>3. Architecture Patterns: How Report Data Reaches the Screen</w:t>
          </w:r>
          <w:r>
            <w:tab/>
          </w:r>
          <w:r>
            <w:t>2</w:t>
          </w:r>
        </w:p>
        <w:p>
          <w:pPr>
            <w:pStyle w:val="9"/>
            <w:tabs>
              <w:tab w:val="right" w:leader="dot" w:pos="9026"/>
            </w:tabs>
            <w:spacing w:before="120" w:after="60"/>
          </w:pPr>
          <w:r>
            <w:t>4. The UI State Model: Loading, Populated, Filtered, Empty, Error</w:t>
          </w:r>
          <w:r>
            <w:tab/>
          </w:r>
          <w:r>
            <w:t>3</w:t>
          </w:r>
        </w:p>
        <w:p>
          <w:pPr>
            <w:pStyle w:val="9"/>
            <w:tabs>
              <w:tab w:val="right" w:leader="dot" w:pos="9026"/>
            </w:tabs>
            <w:spacing w:before="120" w:after="60"/>
          </w:pPr>
          <w:r>
            <w:t>5. Filter and Control UX Patterns</w:t>
          </w:r>
          <w:r>
            <w:tab/>
          </w:r>
          <w:r>
            <w:t>4</w:t>
          </w:r>
        </w:p>
        <w:p>
          <w:pPr>
            <w:pStyle w:val="11"/>
            <w:ind w:left="360"/>
            <w:tabs>
              <w:tab w:val="right" w:leader="dot" w:pos="9026"/>
            </w:tabs>
            <w:spacing w:before="120" w:after="60"/>
          </w:pPr>
          <w:r>
            <w:t>5.1 Live counts computed from the full dataset</w:t>
          </w:r>
          <w:r>
            <w:tab/>
          </w:r>
          <w:r>
            <w:t>4</w:t>
          </w:r>
        </w:p>
        <w:p>
          <w:pPr>
            <w:pStyle w:val="11"/>
            <w:ind w:left="360"/>
            <w:tabs>
              <w:tab w:val="right" w:leader="dot" w:pos="9026"/>
            </w:tabs>
            <w:spacing w:before="120" w:after="60"/>
          </w:pPr>
          <w:r>
            <w:t>5.2 Filters bind to every layout, or announce otherwise</w:t>
          </w:r>
          <w:r>
            <w:tab/>
          </w:r>
          <w:r>
            <w:t>4</w:t>
          </w:r>
        </w:p>
        <w:p>
          <w:pPr>
            <w:pStyle w:val="11"/>
            <w:ind w:left="360"/>
            <w:tabs>
              <w:tab w:val="right" w:leader="dot" w:pos="9026"/>
            </w:tabs>
            <w:spacing w:before="120" w:after="60"/>
          </w:pPr>
          <w:r>
            <w:t>5.3 Control geometry and placement</w:t>
          </w:r>
          <w:r>
            <w:tab/>
          </w:r>
          <w:r>
            <w:t>5</w:t>
          </w:r>
        </w:p>
        <w:p>
          <w:pPr>
            <w:pStyle w:val="9"/>
            <w:tabs>
              <w:tab w:val="right" w:leader="dot" w:pos="9026"/>
            </w:tabs>
            <w:spacing w:before="120" w:after="60"/>
          </w:pPr>
          <w:r>
            <w:t>6. Selection, Bulk Operations and Feedback Loops</w:t>
          </w:r>
          <w:r>
            <w:tab/>
          </w:r>
          <w:r>
            <w:t>5</w:t>
          </w:r>
        </w:p>
        <w:p>
          <w:pPr>
            <w:pStyle w:val="9"/>
            <w:tabs>
              <w:tab w:val="right" w:leader="dot" w:pos="9026"/>
            </w:tabs>
            <w:spacing w:before="120" w:after="60"/>
          </w:pPr>
          <w:r>
            <w:t>7. The Status Visualization System</w:t>
          </w:r>
          <w:r>
            <w:tab/>
          </w:r>
          <w:r>
            <w:t>6</w:t>
          </w:r>
        </w:p>
        <w:p>
          <w:pPr>
            <w:pStyle w:val="9"/>
            <w:tabs>
              <w:tab w:val="right" w:leader="dot" w:pos="9026"/>
            </w:tabs>
            <w:spacing w:before="120" w:after="60"/>
          </w:pPr>
          <w:r>
            <w:t>8. Accessibility, Responsiveness and Data Integrity</w:t>
          </w:r>
          <w:r>
            <w:tab/>
          </w:r>
          <w:r>
            <w:t>6</w:t>
          </w:r>
        </w:p>
        <w:p>
          <w:pPr>
            <w:pStyle w:val="11"/>
            <w:ind w:left="360"/>
            <w:tabs>
              <w:tab w:val="right" w:leader="dot" w:pos="9026"/>
            </w:tabs>
            <w:spacing w:before="120" w:after="60"/>
          </w:pPr>
          <w:r>
            <w:t>8.1 ARIA labels and keyboard operation</w:t>
          </w:r>
          <w:r>
            <w:tab/>
          </w:r>
          <w:r>
            <w:t>6</w:t>
          </w:r>
        </w:p>
        <w:p>
          <w:pPr>
            <w:pStyle w:val="11"/>
            <w:ind w:left="360"/>
            <w:tabs>
              <w:tab w:val="right" w:leader="dot" w:pos="9026"/>
            </w:tabs>
            <w:spacing w:before="120" w:after="60"/>
          </w:pPr>
          <w:r>
            <w:t>8.2 Responsive behavior</w:t>
          </w:r>
          <w:r>
            <w:tab/>
          </w:r>
          <w:r>
            <w:t>7</w:t>
          </w:r>
        </w:p>
        <w:p>
          <w:pPr>
            <w:pStyle w:val="11"/>
            <w:ind w:left="360"/>
            <w:tabs>
              <w:tab w:val="right" w:leader="dot" w:pos="9026"/>
            </w:tabs>
            <w:spacing w:before="120" w:after="60"/>
          </w:pPr>
          <w:r>
            <w:t>8.3 Timezones, snapshots and save-order integrity</w:t>
          </w:r>
          <w:r>
            <w:tab/>
          </w:r>
          <w:r>
            <w:t>7</w:t>
          </w:r>
        </w:p>
        <w:p>
          <w:pPr>
            <w:pStyle w:val="9"/>
            <w:tabs>
              <w:tab w:val="right" w:leader="dot" w:pos="9026"/>
            </w:tabs>
            <w:spacing w:before="120" w:after="60"/>
          </w:pPr>
          <w:r>
            <w:t>9. Deviation Register: Where the Build Breaks Its Own Rules</w:t>
          </w:r>
          <w:r>
            <w:tab/>
          </w:r>
          <w:r>
            <w:t>7</w:t>
          </w:r>
        </w:p>
        <w:p>
          <w:pPr>
            <w:pStyle w:val="9"/>
            <w:tabs>
              <w:tab w:val="right" w:leader="dot" w:pos="9026"/>
            </w:tabs>
            <w:spacing w:before="120" w:after="60"/>
          </w:pPr>
          <w:r>
            <w:t>10. The Best-Practices Checklist and Conclusions</w:t>
          </w:r>
          <w:r>
            <w:tab/>
          </w:r>
          <w:r>
            <w:t>8</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80" w:lineRule="atLeast"/>
      </w:pPr>
      <w:bookmarkStart w:name="_Toc1" w:id="1"/>
      <w:r>
        <w:rPr>
          <w:rFonts w:ascii="Times New Roman" w:eastAsia="SimHei"/>
          <w:b/>
          <w:bCs/>
          <w:color w:val="162235"/>
          <w:sz w:val="32"/>
          <w:szCs w:val="32"/>
        </w:rPr>
        <w:t xml:space="preserve">1. Executive Summary</w:t>
      </w:r>
      <w:bookmarkEnd w:id="1"/>
    </w:p>
    <w:p>
      <w:pPr>
        <w:spacing w:after="120" w:line="312"/>
        <w:jc w:val="both"/>
      </w:pPr>
      <w:r>
        <w:rPr>
          <w:rFonts w:ascii="Times New Roman" w:eastAsia="SimSun"/>
          <w:color w:val="000000"/>
          <w:sz w:val="24"/>
          <w:szCs w:val="24"/>
        </w:rPr>
        <w:t xml:space="preserve">This document is the second volume of the two-part reporting review of the Massapro Content Wizz platform. Where the companion audit (Reporting Capabilities Audit, October 2026) establishes what the platform can report on today, this volume documents how the reporting surfaces and their interface elements were built: the recurring architecture patterns, the state-handling conventions, the interaction models behind filtering, selection and bulk operations, and the accessibility and data-integrity details that define the product feel. Every practice described here was extracted from the shipped code and names the file that implements it, so the document serves both as an explanation and as an engineering reference.</w:t>
      </w:r>
    </w:p>
    <w:p>
      <w:pPr>
        <w:spacing w:after="120" w:line="312"/>
        <w:jc w:val="both"/>
      </w:pPr>
      <w:r>
        <w:rPr>
          <w:rFonts w:ascii="Times New Roman" w:eastAsia="SimSun"/>
          <w:color w:val="000000"/>
          <w:sz w:val="24"/>
          <w:szCs w:val="24"/>
        </w:rPr>
        <w:t xml:space="preserve">The headline finding is a two-speed adoption of the platform's own craft. The practices that make a surface feel finished, such as skeleton loading placeholders, designed empty states and toast feedback on every mutation, are implemented almost everywhere: eight of the nine surfaces render skeletons instead of zeros, eight confirm actions with toasts, and five carry purpose-written empty states with a next action built in. The practices that make a surface feel powerful, such as filters, multi-selection, bulk operations and labeled keyboard operation, are concentrated almost entirely in one workspace. The Plan Detail view is the only surface that implements all eight practice areas identified in this review.</w:t>
      </w:r>
    </w:p>
    <w:p>
      <w:pPr>
        <w:spacing w:after="120" w:line="312"/>
        <w:jc w:val="both"/>
      </w:pPr>
      <w:r>
        <w:rPr>
          <w:rFonts w:ascii="Times New Roman" w:eastAsia="SimSun"/>
          <w:color w:val="000000"/>
          <w:sz w:val="24"/>
          <w:szCs w:val="24"/>
        </w:rPr>
        <w:t xml:space="preserve">Between those two speeds sits a set of ten concrete, reusable patterns: server-side counting with client-owned view state; one fetch per surface with in-browser computation; live filter counts computed from the full dataset; a set-based selection model that survives filter changes; a contextual bulk bar with conditional inputs; optimistic state sync from bulk responses; sequential processing with live progress for rate-limited external calls; a six-slot reserved status color system shared through one exported badge component; honest timezone and media-snapshot fallback handling; and explicit ARIA labeling with keyboard operation. Each is small enough to apply in an afternoon and, together, they are the reason the Plan Detail workspace feels like the product's best-built surface.</w:t>
      </w:r>
    </w:p>
    <w:p>
      <w:pPr>
        <w:spacing w:after="120" w:line="312"/>
        <w:jc w:val="both"/>
      </w:pPr>
      <w:r>
        <w:rPr>
          <w:rFonts w:ascii="Times New Roman" w:eastAsia="SimSun"/>
          <w:color w:val="000000"/>
          <w:sz w:val="24"/>
          <w:szCs w:val="24"/>
        </w:rPr>
        <w:t xml:space="preserve">The review also records where the build departs from its own best rules: a computed counter that no view renders, a layout that silently ignores the active filter, a chart stack installed but never imported, and filter state that dies on navigation. Chapter 9 lists the five deviations with code evidence, and Chapter 10 compresses the whole review into a fourteen-rule acceptance checklist intended to be applied to every future reporting surface, starting with the analytics endpoint and first charts already recommended by the companion audit.</w:t>
      </w:r>
    </w:p>
    <w:p>
      <w:pPr>
        <w:pStyle w:val="Heading1"/>
        <w:spacing w:after="160" w:before="360" w:line="380" w:lineRule="atLeast"/>
      </w:pPr>
      <w:bookmarkStart w:name="_Toc2" w:id="2"/>
      <w:r>
        <w:rPr>
          <w:rFonts w:ascii="Times New Roman" w:eastAsia="SimHei"/>
          <w:b/>
          <w:bCs/>
          <w:color w:val="162235"/>
          <w:sz w:val="32"/>
          <w:szCs w:val="32"/>
        </w:rPr>
        <w:t xml:space="preserve">2. Scope, Sources and Method</w:t>
      </w:r>
      <w:bookmarkEnd w:id="2"/>
    </w:p>
    <w:p>
      <w:pPr>
        <w:spacing w:after="120" w:line="312"/>
        <w:jc w:val="both"/>
      </w:pPr>
      <w:r>
        <w:rPr>
          <w:rFonts w:ascii="Times New Roman" w:eastAsia="SimSun"/>
          <w:color w:val="000000"/>
          <w:sz w:val="24"/>
          <w:szCs w:val="24"/>
        </w:rPr>
        <w:t xml:space="preserve">The review covers the same nine user-facing surfaces as the companion audit: the Dashboard (Command Center), the Content Plans list, the Plan Detail workspace in both of its layouts, the Brands grid, the Brand Detail view with its tabs, the Media, Knowledge and AI Agents panels, and Settings. For each surface it examines not what is reported but how: how data is fetched and held, how the loading, empty and error conditions are rendered, how controls are built and labeled, and how the interface behaves when the user acts on it. The server-side counterparts that shape interface decisions, namely the /api/stats endpoint, the shared type constants and the Prisma data model, are included where relevant.</w:t>
      </w:r>
    </w:p>
    <w:p>
      <w:pPr>
        <w:spacing w:after="120" w:line="312"/>
        <w:jc w:val="both"/>
      </w:pPr>
      <w:r>
        <w:rPr>
          <w:rFonts w:ascii="Times New Roman" w:eastAsia="SimSun"/>
          <w:color w:val="000000"/>
          <w:sz w:val="24"/>
          <w:szCs w:val="24"/>
        </w:rPr>
        <w:t xml:space="preserve">The method is pattern extraction at code level. Each practice area was identified from a concrete implementation, then counted across all nine surfaces by direct search of the component sources, which produced the coverage figures used in Chapter 4 and Chapter 10. A pattern is documented only when its implementing file is named; nothing in this document is inferred from design intention or from behavior observed outside the code. The counts are deliberately conservative: a surface receives credit for a pattern only when the pattern is implemented in its own component source, not when it merely benefits from a shared dependency.</w:t>
      </w:r>
    </w:p>
    <w:p>
      <w:pPr>
        <w:spacing w:after="120" w:line="312"/>
        <w:jc w:val="both"/>
      </w:pPr>
      <w:r>
        <w:rPr>
          <w:rFonts w:ascii="Times New Roman" w:eastAsia="SimSun"/>
          <w:color w:val="000000"/>
          <w:sz w:val="24"/>
          <w:szCs w:val="24"/>
        </w:rPr>
        <w:t xml:space="preserve">Two boundaries apply. First, this is an engineering-practices review rather than a visual style guide: it documents interaction and state conventions, not the color palette, typography or iconography decisions that a design-system document would own. Second, it describes the build as shipped on the production deployment; where a better pattern exists in the dependency tree but is unused, as with the chart wrapper, it is recorded in Chapter 9 as a deviation rather than presented here as a practice.</w:t>
      </w:r>
    </w:p>
    <w:p>
      <w:pPr>
        <w:pStyle w:val="Heading1"/>
        <w:spacing w:after="160" w:before="360" w:line="380" w:lineRule="atLeast"/>
      </w:pPr>
      <w:bookmarkStart w:name="_Toc3" w:id="3"/>
      <w:r>
        <w:rPr>
          <w:rFonts w:ascii="Times New Roman" w:eastAsia="SimHei"/>
          <w:b/>
          <w:bCs/>
          <w:color w:val="162235"/>
          <w:sz w:val="32"/>
          <w:szCs w:val="32"/>
        </w:rPr>
        <w:t xml:space="preserve">3. Architecture Patterns: How Report Data Reaches the Screen</w:t>
      </w:r>
      <w:bookmarkEnd w:id="3"/>
    </w:p>
    <w:p>
      <w:pPr>
        <w:spacing w:after="120" w:line="312"/>
        <w:jc w:val="both"/>
      </w:pPr>
      <w:r>
        <w:rPr>
          <w:rFonts w:ascii="Times New Roman" w:eastAsia="SimSun"/>
          <w:color w:val="000000"/>
          <w:sz w:val="24"/>
          <w:szCs w:val="24"/>
        </w:rPr>
        <w:t xml:space="preserve">Reporting data reaches the screen through three planes, and the division of labor between them is the platform's first architectural best practice. The aggregate plane is the /api/stats endpoint, which executes its six counters in parallel with Promise.all, each scoped to the signed-in user, and returns them alongside the four most recent plans with their brand, generating agent and post counts. The entity plane is a set of plain REST lists: every surface fetches its full entity collection once and renders it. The lifecycle plane is the publish pipeline, which maintains status, scheduled date, published timestamp and the LinkedIn post URN on each post as it moves through the workflow. Table 1 summarizes the three planes.</w:t>
      </w:r>
    </w:p>
    <w:p>
      <w:pPr>
        <w:keepNext/>
        <w:spacing w:after="100" w:before="160" w:line="312"/>
        <w:jc w:val="left"/>
      </w:pPr>
      <w:r>
        <w:rPr>
          <w:rFonts w:ascii="Times New Roman" w:eastAsia="SimSun"/>
          <w:b/>
          <w:bCs/>
          <w:color w:val="162235"/>
          <w:sz w:val="21"/>
          <w:szCs w:val="21"/>
        </w:rPr>
        <w:t xml:space="preserve">Table 1: The three data planes and their implementations</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582"/>
        <w:gridCol w:w="4394"/>
        <w:gridCol w:w="2812"/>
      </w:tblGrid>
      <w:tr>
        <w:trPr>
          <w:cantSplit/>
          <w:tblHeader/>
        </w:trPr>
        <w:tc>
          <w:tcPr>
            <w:tcW w:type="pct" w:w="9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Plane</w:t>
            </w:r>
          </w:p>
        </w:tc>
        <w:tc>
          <w:tcPr>
            <w:tcW w:type="pct" w:w="25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Implementation</w:t>
            </w:r>
          </w:p>
        </w:tc>
        <w:tc>
          <w:tcPr>
            <w:tcW w:type="pct" w:w="16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Consumed by</w:t>
            </w:r>
          </w:p>
        </w:tc>
      </w:tr>
      <w:tr>
        <w:trPr>
          <w:cantSplit/>
        </w:trPr>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Aggregate counters</w:t>
            </w:r>
          </w:p>
        </w:tc>
        <w:tc>
          <w:tcPr>
            <w:tcW w:type="pct" w:w="2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/api/stats runs six parallel database counts scoped to the user, plus a recent-plans query (take 4) with brand, agent and post count</w:t>
            </w:r>
          </w:p>
        </w:tc>
        <w:tc>
          <w:tcPr>
            <w:tcW w:type="pct" w:w="1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 KPI cards and lists</w:t>
            </w:r>
          </w:p>
        </w:tc>
      </w:tr>
      <w:tr>
        <w:trPr>
          <w:cantSplit/>
        </w:trPr>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Entity lists</w:t>
            </w:r>
          </w:p>
        </w:tc>
        <w:tc>
          <w:tcPr>
            <w:tcW w:type="pct" w:w="2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One REST fetch per surface; all counting, filtering, selection and layout derived in the browser from the held array</w:t>
            </w:r>
          </w:p>
        </w:tc>
        <w:tc>
          <w:tcPr>
            <w:tcW w:type="pct" w:w="16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Plans, Plan Detail, Brands, Media, Knowledge, Agents</w:t>
            </w:r>
          </w:p>
        </w:tc>
      </w:tr>
      <w:tr>
        <w:trPr>
          <w:cantSplit/>
        </w:trPr>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Publish lifecycle</w:t>
            </w:r>
          </w:p>
        </w:tc>
        <w:tc>
          <w:tcPr>
            <w:tcW w:type="pct" w:w="2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 transitions maintained by the publish route and scheduler; URN and timestamps stored on the post row</w:t>
            </w:r>
          </w:p>
        </w:tc>
        <w:tc>
          <w:tcPr>
            <w:tcW w:type="pct" w:w="1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 badges, per-status counts, calendar</w:t>
            </w:r>
          </w:p>
        </w:tc>
      </w:tr>
    </w:tbl>
    <w:p>
      <w:pPr>
        <w:spacing w:after="120" w:line="312"/>
        <w:jc w:val="both"/>
      </w:pPr>
      <w:r>
        <w:rPr>
          <w:rFonts w:ascii="Times New Roman" w:eastAsia="SimSun"/>
          <w:color w:val="000000"/>
          <w:sz w:val="24"/>
          <w:szCs w:val="24"/>
        </w:rPr>
        <w:t xml:space="preserve">The first practice is that the server counts cheaply and the client owns view state. The stats endpoint performs only the operations the database does best, namely parallel counts, and returns flat numbers; everything stateful, from the selected brand to the ticked posts and the active layout, lives in component state on the client. This keeps the API stateless and simple to reason about, and it frees the interface to rearrange, filter and recompute without asking the server again. The same discipline shows in the dashboard load, which fetches the stats and the brand list concurrently rather than sequentially.</w:t>
      </w:r>
    </w:p>
    <w:p>
      <w:pPr>
        <w:spacing w:after="120" w:line="312"/>
        <w:jc w:val="both"/>
      </w:pPr>
      <w:r>
        <w:rPr>
          <w:rFonts w:ascii="Times New Roman" w:eastAsia="SimSun"/>
          <w:color w:val="000000"/>
          <w:sz w:val="24"/>
          <w:szCs w:val="24"/>
        </w:rPr>
        <w:t xml:space="preserve">The second practice is one fetch per surface, computed in the browser. Every list surface holds its complete dataset in memory and derives everything the user sees, including filter options, per-status counts and row visibility, from that array at render time. The payoff is interaction latency: filters apply with no spinner because there is no round trip. The cost is equally real: payloads grow with the dataset, so the pattern has a shelf life, and the sorting, pagination and server-side filtering recommended in the companion audit become necessary as collections grow. The pattern is the right default until the data says otherwise, and knowing that boundary is part of the practice.</w:t>
      </w:r>
    </w:p>
    <w:p>
      <w:pPr>
        <w:spacing w:after="120" w:line="312"/>
        <w:jc w:val="both"/>
      </w:pPr>
      <w:r>
        <w:rPr>
          <w:rFonts w:ascii="Times New Roman" w:eastAsia="SimSun"/>
          <w:color w:val="000000"/>
          <w:sz w:val="24"/>
          <w:szCs w:val="24"/>
        </w:rPr>
        <w:t xml:space="preserve">The third and fourth practices concern honesty at the edges. Side effects that must happen for a report to be true are attached to the report itself: opening the Dashboard triggers the throttled scheduler sweep, capped at once per minute, so the counts it shows are never stale from posts that fell due while nobody was looking; the report doubles as the platform heartbeat. And the vocabulary of the interface is defined exactly once: the five workflow statuses and six post types are exported constants in the shared types module, and every filter option, bulk dropdown and editor select is generated from those arrays, so the interface cannot drift from the data model. One deliberate anti-pattern is on record alongside these practices: the endpoint computes a published counter, combining scheduled and published posts, that no view renders. The rule it violates is simple, namely that every computed field should either be displayed or deleted, and it opens the deviation register in Chapter 9.</w:t>
      </w:r>
    </w:p>
    <w:p>
      <w:pPr>
        <w:pStyle w:val="Heading1"/>
        <w:spacing w:after="160" w:before="360" w:line="380" w:lineRule="atLeast"/>
      </w:pPr>
      <w:bookmarkStart w:name="_Toc4" w:id="4"/>
      <w:r>
        <w:rPr>
          <w:rFonts w:ascii="Times New Roman" w:eastAsia="SimHei"/>
          <w:b/>
          <w:bCs/>
          <w:color w:val="162235"/>
          <w:sz w:val="32"/>
          <w:szCs w:val="32"/>
        </w:rPr>
        <w:t xml:space="preserve">4. The UI State Model: Loading, Populated, Filtered, Empty, Error</w:t>
      </w:r>
      <w:bookmarkEnd w:id="4"/>
    </w:p>
    <w:p>
      <w:pPr>
        <w:spacing w:after="120" w:line="312"/>
        <w:jc w:val="both"/>
      </w:pPr>
      <w:r>
        <w:rPr>
          <w:rFonts w:ascii="Times New Roman" w:eastAsia="SimSun"/>
          <w:color w:val="000000"/>
          <w:sz w:val="24"/>
          <w:szCs w:val="24"/>
        </w:rPr>
        <w:t xml:space="preserve">Every list surface in the platform is written against the same five states, and this convention more than any other defines the product feel. Loading renders skeletons that match the geometry of the content they replace, a small block where each KPI number will sit and full-height rows where list items will appear, so the page settles into place instead of flashing zeros or blocking on a spinner. Populated renders the data. Filtered renders the subset while the controls keep their labels truthful. Empty and error each have their own designed response. The value of the convention is trust: at no point does the interface show a number it does not yet know, or a blank where an explanation belongs.</w:t>
      </w:r>
    </w:p>
    <w:p>
      <w:pPr>
        <w:spacing w:after="120" w:line="312"/>
        <w:jc w:val="both"/>
      </w:pPr>
      <w:r>
        <w:rPr>
          <w:rFonts w:ascii="Times New Roman" w:eastAsia="SimSun"/>
          <w:color w:val="000000"/>
          <w:sz w:val="24"/>
          <w:szCs w:val="24"/>
        </w:rPr>
        <w:t xml:space="preserve">Empty states are differentiated by cause, which is the heart of the pattern. A surface with no data at all explains the situation and offers the next action in the same breath: the Dashboard brands panel states that no brands exist yet, says why the first one matters, and carries a Create Brand button; the Plans list renders a card that explains what a plan is and how to generate the first one. A surface with data but no matches says so in one line: the Plan Detail list shows an explicit “No posts match this filter.” message, keeping the cause, which is the active filter, distinct from the state, which is an empty result. This distinction prevents the most common empty-state failure, in which users cannot tell whether their data is missing or their filter is wrong.</w:t>
      </w:r>
    </w:p>
    <w:p>
      <w:pPr>
        <w:spacing w:after="120" w:line="312"/>
        <w:jc w:val="both"/>
      </w:pPr>
      <w:r>
        <w:rPr>
          <w:rFonts w:ascii="Times New Roman" w:eastAsia="SimSun"/>
          <w:color w:val="000000"/>
          <w:sz w:val="24"/>
          <w:szCs w:val="24"/>
        </w:rPr>
        <w:t xml:space="preserve">Errors are delivered as toasts with a destructive variant, and wherever a partial outcome is possible the copy reports the honest tally: bulk approvals summarize as approved nine of twelve, and bulk publishing distinguishes an all-live result from a partial one, with the likely cause and remedy in the description. Guards fire before errors do: attempting to generate a plan with no brands is intercepted by a guidance toast rather than an API failure. Figure 1 shows how unevenly this state craft is distributed across the platform: skeletons and toasts are near-universal at eight of nine surfaces, designed empty states reach five, and the interaction patterns of the following chapters remain confined to one or two surfaces.</w:t>
      </w:r>
    </w:p>
    <w:p>
      <w:pPr>
        <w:keepNext/>
        <w:spacing w:after="4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p>
    <w:p>
      <w:pPr>
        <w:spacing w:after="200" w:before="80" w:line="312"/>
        <w:jc w:val="center"/>
      </w:pPr>
      <w:r>
        <w:rPr>
          <w:rFonts w:ascii="Times New Roman" w:eastAsia="SimSun"/>
          <w:color w:val="606060"/>
          <w:sz w:val="21"/>
          <w:szCs w:val="21"/>
        </w:rPr>
        <w:t xml:space="preserve">Figure 1: Surfaces implementing each UI practice, counted from the component sources (out of 9 examined)</w:t>
      </w:r>
    </w:p>
    <w:p>
      <w:pPr>
        <w:spacing w:after="120" w:line="312"/>
        <w:jc w:val="both"/>
      </w:pPr>
      <w:r>
        <w:rPr>
          <w:rFonts w:ascii="Times New Roman" w:eastAsia="SimSun"/>
          <w:color w:val="000000"/>
          <w:sz w:val="24"/>
          <w:szCs w:val="24"/>
        </w:rPr>
        <w:t xml:space="preserve">Table 2 records the five states with their implementing convention and reference files, in the quick form of the rule: no surface may render a state it has not designed. The table is also the fastest review aid in this document, because each row can be verified by reading one component source.</w:t>
      </w:r>
    </w:p>
    <w:p>
      <w:pPr>
        <w:keepNext/>
        <w:spacing w:after="100" w:before="160" w:line="312"/>
        <w:jc w:val="left"/>
      </w:pPr>
      <w:r>
        <w:rPr>
          <w:rFonts w:ascii="Times New Roman" w:eastAsia="SimSun"/>
          <w:b/>
          <w:bCs/>
          <w:color w:val="162235"/>
          <w:sz w:val="21"/>
          <w:szCs w:val="21"/>
        </w:rPr>
        <w:t xml:space="preserve">Table 2: The five UI states and their implementing conventions</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406"/>
        <w:gridCol w:w="4042"/>
        <w:gridCol w:w="3339"/>
      </w:tblGrid>
      <w:tr>
        <w:trPr>
          <w:cantSplit/>
          <w:tblHeader/>
        </w:trPr>
        <w:tc>
          <w:tcPr>
            <w:tcW w:type="pct" w:w="8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State</w:t>
            </w:r>
          </w:p>
        </w:tc>
        <w:tc>
          <w:tcPr>
            <w:tcW w:type="pct" w:w="23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Convention</w:t>
            </w:r>
          </w:p>
        </w:tc>
        <w:tc>
          <w:tcPr>
            <w:tcW w:type="pct" w:w="19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Reference implementations</w:t>
            </w:r>
          </w:p>
        </w:tc>
      </w:tr>
      <w:tr>
        <w:trPr>
          <w:cantSplit/>
        </w:trPr>
        <w:tc>
          <w:tcPr>
            <w:tcW w:type="pct" w:w="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Loading</w:t>
            </w:r>
          </w:p>
        </w:tc>
        <w:tc>
          <w:tcPr>
            <w:tcW w:type="pct" w:w="2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Skeletons matching final content geometry; never zeros, never a blocking spinner on first paint</w:t>
            </w:r>
          </w:p>
        </w:tc>
        <w:tc>
          <w:tcPr>
            <w:tcW w:type="pct" w:w="1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DashboardView, PlansView, PlanDetailView, all panels</w:t>
            </w:r>
          </w:p>
        </w:tc>
      </w:tr>
      <w:tr>
        <w:trPr>
          <w:cantSplit/>
        </w:trPr>
        <w:tc>
          <w:tcPr>
            <w:tcW w:type="pct" w:w="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Populated</w:t>
            </w:r>
          </w:p>
        </w:tc>
        <w:tc>
          <w:tcPr>
            <w:tcW w:type="pct" w:w="2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Full dataset rendered from one fetch; counts and labels derived at render time</w:t>
            </w:r>
          </w:p>
        </w:tc>
        <w:tc>
          <w:tcPr>
            <w:tcW w:type="pct" w:w="1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All list surfaces</w:t>
            </w:r>
          </w:p>
        </w:tc>
      </w:tr>
      <w:tr>
        <w:trPr>
          <w:cantSplit/>
        </w:trPr>
        <w:tc>
          <w:tcPr>
            <w:tcW w:type="pct" w:w="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Filtered</w:t>
            </w:r>
          </w:p>
        </w:tc>
        <w:tc>
          <w:tcPr>
            <w:tcW w:type="pct" w:w="2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Subset recomputed in memory; filter option counts stay computed from the full dataset</w:t>
            </w:r>
          </w:p>
        </w:tc>
        <w:tc>
          <w:tcPr>
            <w:tcW w:type="pct" w:w="1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PlanDetailView, PlansView</w:t>
            </w:r>
          </w:p>
        </w:tc>
      </w:tr>
      <w:tr>
        <w:trPr>
          <w:cantSplit/>
        </w:trPr>
        <w:tc>
          <w:tcPr>
            <w:tcW w:type="pct" w:w="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Empty (no data)</w:t>
            </w:r>
          </w:p>
        </w:tc>
        <w:tc>
          <w:tcPr>
            <w:tcW w:type="pct" w:w="2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Icon, one-line cause, primary next-action button in the same block</w:t>
            </w:r>
          </w:p>
        </w:tc>
        <w:tc>
          <w:tcPr>
            <w:tcW w:type="pct" w:w="1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DashboardView, PlansView, BrandsView, BrandDetailView</w:t>
            </w:r>
          </w:p>
        </w:tc>
      </w:tr>
      <w:tr>
        <w:trPr>
          <w:cantSplit/>
        </w:trPr>
        <w:tc>
          <w:tcPr>
            <w:tcW w:type="pct" w:w="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Empty (no match)</w:t>
            </w:r>
          </w:p>
        </w:tc>
        <w:tc>
          <w:tcPr>
            <w:tcW w:type="pct" w:w="2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One explicit line naming the filter as the cause</w:t>
            </w:r>
          </w:p>
        </w:tc>
        <w:tc>
          <w:tcPr>
            <w:tcW w:type="pct" w:w="1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PlanDetailView</w:t>
            </w:r>
          </w:p>
        </w:tc>
      </w:tr>
      <w:tr>
        <w:trPr>
          <w:cantSplit/>
        </w:trPr>
        <w:tc>
          <w:tcPr>
            <w:tcW w:type="pct" w:w="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Error</w:t>
            </w:r>
          </w:p>
        </w:tc>
        <w:tc>
          <w:tcPr>
            <w:tcW w:type="pct" w:w="2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Destructive toast with honest partial tallies; guidance toasts fire as pre-emptive guards</w:t>
            </w:r>
          </w:p>
        </w:tc>
        <w:tc>
          <w:tcPr>
            <w:tcW w:type="pct" w:w="1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PlanDetailView, MediaPanel, SettingsView</w:t>
            </w:r>
          </w:p>
        </w:tc>
      </w:tr>
    </w:tbl>
    <w:p>
      <w:pPr>
        <w:pStyle w:val="Heading1"/>
        <w:spacing w:after="160" w:before="360" w:line="380" w:lineRule="atLeast"/>
      </w:pPr>
      <w:bookmarkStart w:name="_Toc5" w:id="5"/>
      <w:r>
        <w:rPr>
          <w:rFonts w:ascii="Times New Roman" w:eastAsia="SimHei"/>
          <w:b/>
          <w:bCs/>
          <w:color w:val="162235"/>
          <w:sz w:val="32"/>
          <w:szCs w:val="32"/>
        </w:rPr>
        <w:t xml:space="preserve">5. Filter and Control UX Patterns</w:t>
      </w:r>
      <w:bookmarkEnd w:id="5"/>
    </w:p>
    <w:p>
      <w:pPr>
        <w:spacing w:after="120" w:line="312"/>
        <w:jc w:val="both"/>
      </w:pPr>
      <w:r>
        <w:rPr>
          <w:rFonts w:ascii="Times New Roman" w:eastAsia="SimSun"/>
          <w:color w:val="000000"/>
          <w:sz w:val="24"/>
          <w:szCs w:val="24"/>
        </w:rPr>
        <w:t xml:space="preserve">The Plan Detail workspace implements the platform's complete filter vocabulary, and its choices generalize into rules that any new reporting surface can adopt unchanged. The controlling principle is that filters must be truthful, scoped and consistent: truthful in what their labels claim, scoped to every layout that renders the same entities, and consistent in geometry and placement across the toolbar. The three subsections below extract those rules from the shipped implementation, and Table 3 collects the conventions in reviewable form.</w:t>
      </w:r>
    </w:p>
    <w:p>
      <w:pPr>
        <w:pStyle w:val="Heading2"/>
        <w:spacing w:after="120" w:before="260" w:line="340" w:lineRule="atLeast"/>
      </w:pPr>
      <w:bookmarkStart w:name="_Toc6" w:id="6"/>
      <w:r>
        <w:rPr>
          <w:rFonts w:ascii="Times New Roman" w:eastAsia="SimHei"/>
          <w:b/>
          <w:bCs/>
          <w:color w:val="162235"/>
          <w:sz w:val="28"/>
          <w:szCs w:val="28"/>
        </w:rPr>
        <w:t xml:space="preserve">5.1 Live counts computed from the full dataset</w:t>
      </w:r>
      <w:bookmarkEnd w:id="6"/>
    </w:p>
    <w:p>
      <w:pPr>
        <w:spacing w:after="120" w:line="312"/>
        <w:jc w:val="both"/>
      </w:pPr>
      <w:r>
        <w:rPr>
          <w:rFonts w:ascii="Times New Roman" w:eastAsia="SimSun"/>
          <w:color w:val="000000"/>
          <w:sz w:val="24"/>
          <w:szCs w:val="24"/>
        </w:rPr>
        <w:t xml:space="preserve">The status filter is a compact select whose options carry counts, All (30), draft (12), approved (7), and the counts are computed from the full posts array, never from the visible subset. The distinction matters more than it looks. Had the counts been derived from the filtered list, choosing a status would shrink every other option's count and could dead-end the user in a state they could neither reason about nor escape. Computing from the full array keeps each option's count stable and truthful no matter what is selected, which is what makes the control a reporting instrument rather than a view toggle. The general rule: counter labels inside a filter describe the whole dataset, not the filtered remainder.</w:t>
      </w:r>
    </w:p>
    <w:p>
      <w:pPr>
        <w:pStyle w:val="Heading2"/>
        <w:spacing w:after="120" w:before="260" w:line="340" w:lineRule="atLeast"/>
      </w:pPr>
      <w:bookmarkStart w:name="_Toc7" w:id="7"/>
      <w:r>
        <w:rPr>
          <w:rFonts w:ascii="Times New Roman" w:eastAsia="SimHei"/>
          <w:b/>
          <w:bCs/>
          <w:color w:val="162235"/>
          <w:sz w:val="28"/>
          <w:szCs w:val="28"/>
        </w:rPr>
        <w:t xml:space="preserve">5.2 Filters bind to every layout, or announce otherwise</w:t>
      </w:r>
      <w:bookmarkEnd w:id="7"/>
    </w:p>
    <w:p>
      <w:pPr>
        <w:spacing w:after="120" w:line="312"/>
        <w:jc w:val="both"/>
      </w:pPr>
      <w:r>
        <w:rPr>
          <w:rFonts w:ascii="Times New Roman" w:eastAsia="SimSun"/>
          <w:color w:val="000000"/>
          <w:sz w:val="24"/>
          <w:szCs w:val="24"/>
        </w:rPr>
        <w:t xml:space="preserve">The workspace has two layouts, list cards and a thirty-day calendar grid, and the status filter drives only the first. The calendar always draws all thirty day cells from the full dataset, so switching layouts silently discards the active filter without a warning of any kind. The best-practice form of this rule is stated positively: a filter applies to every layout that renders the same entities, and where a layout intentionally ignores it, as the calendar does to preserve its month-at-a-glance reading, the interface must say so rather than leave the mismatch to be discovered. This is the one documented violation of the platform's own filtering rules, and it stands first in the deviation register of Chapter 9.</w:t>
      </w:r>
    </w:p>
    <w:p>
      <w:pPr>
        <w:pStyle w:val="Heading2"/>
        <w:spacing w:after="120" w:before="260" w:line="340" w:lineRule="atLeast"/>
      </w:pPr>
      <w:bookmarkStart w:name="_Toc8" w:id="8"/>
      <w:r>
        <w:rPr>
          <w:rFonts w:ascii="Times New Roman" w:eastAsia="SimHei"/>
          <w:b/>
          <w:bCs/>
          <w:color w:val="162235"/>
          <w:sz w:val="28"/>
          <w:szCs w:val="28"/>
        </w:rPr>
        <w:t xml:space="preserve">5.3 Control geometry and placement</w:t>
      </w:r>
      <w:bookmarkEnd w:id="8"/>
    </w:p>
    <w:p>
      <w:pPr>
        <w:spacing w:after="120" w:line="312"/>
        <w:jc w:val="both"/>
      </w:pPr>
      <w:r>
        <w:rPr>
          <w:rFonts w:ascii="Times New Roman" w:eastAsia="SimSun"/>
          <w:color w:val="000000"/>
          <w:sz w:val="24"/>
          <w:szCs w:val="24"/>
        </w:rPr>
        <w:t xml:space="preserve">Controls follow a consistent, teachable geometry. Header-level selectors, such as the brand filter on the Plans list, sit beside the primary action in the page header at a fixed width with an explicit All option first and All as the default on every visit. Workspace-level controls, such as the status filter and the select-all checkbox, sit in a compact 32-pixel toolbar row directly above the content they filter, close enough that cause and effect are visually connected. Layout switching between list and calendar is a first-class dropdown with icon entries rather than a hidden toggle, and each control that filters list data keeps that list's empty state within the same block. Table 3 summarizes the conventions.</w:t>
      </w:r>
    </w:p>
    <w:p>
      <w:pPr>
        <w:keepNext/>
        <w:spacing w:after="100" w:before="160" w:line="312"/>
        <w:jc w:val="left"/>
      </w:pPr>
      <w:r>
        <w:rPr>
          <w:rFonts w:ascii="Times New Roman" w:eastAsia="SimSun"/>
          <w:b/>
          <w:bCs/>
          <w:color w:val="162235"/>
          <w:sz w:val="21"/>
          <w:szCs w:val="21"/>
        </w:rPr>
        <w:t xml:space="preserve">Table 3: Control conventions extracted from the implementation</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582"/>
        <w:gridCol w:w="4570"/>
        <w:gridCol w:w="2636"/>
      </w:tblGrid>
      <w:tr>
        <w:trPr>
          <w:cantSplit/>
          <w:tblHeader/>
        </w:trPr>
        <w:tc>
          <w:tcPr>
            <w:tcW w:type="pct" w:w="9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Control</w:t>
            </w:r>
          </w:p>
        </w:tc>
        <w:tc>
          <w:tcPr>
            <w:tcW w:type="pct" w:w="26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Convention</w:t>
            </w:r>
          </w:p>
        </w:tc>
        <w:tc>
          <w:tcPr>
            <w:tcW w:type="pct" w:w="15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Reference</w:t>
            </w:r>
          </w:p>
        </w:tc>
      </w:tr>
      <w:tr>
        <w:trPr>
          <w:cantSplit/>
        </w:trPr>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Brand selector</w:t>
            </w:r>
          </w:p>
        </w:tc>
        <w:tc>
          <w:tcPr>
            <w:tcW w:type="pct" w:w="2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Header placement beside the primary action; explicit All option first; resets to All by design</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PlansView</w:t>
            </w:r>
          </w:p>
        </w:tc>
      </w:tr>
      <w:tr>
        <w:trPr>
          <w:cantSplit/>
        </w:trPr>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 filter</w:t>
            </w:r>
          </w:p>
        </w:tc>
        <w:tc>
          <w:tcPr>
            <w:tcW w:type="pct" w:w="26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Compact 32 px toolbar height; live counts from the full dataset; All labeled with the total</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PlanDetailView</w:t>
            </w:r>
          </w:p>
        </w:tc>
      </w:tr>
      <w:tr>
        <w:trPr>
          <w:cantSplit/>
        </w:trPr>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Layout switch</w:t>
            </w:r>
          </w:p>
        </w:tc>
        <w:tc>
          <w:tcPr>
            <w:tcW w:type="pct" w:w="2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Dropdown with icon entries; both layouts equally reachable; no hidden toggles</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PlanDetailView</w:t>
            </w:r>
          </w:p>
        </w:tc>
      </w:tr>
      <w:tr>
        <w:trPr>
          <w:cantSplit/>
        </w:trPr>
        <w:tc>
          <w:tcPr>
            <w:tcW w:type="pct" w:w="9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Select all</w:t>
            </w:r>
          </w:p>
        </w:tc>
        <w:tc>
          <w:tcPr>
            <w:tcW w:type="pct" w:w="26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Checkbox labeled for its real scope, visible posts only, not the whole collection</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PlanDetailView</w:t>
            </w:r>
          </w:p>
        </w:tc>
      </w:tr>
      <w:tr>
        <w:trPr>
          <w:cantSplit/>
        </w:trPr>
        <w:tc>
          <w:tcPr>
            <w:tcW w:type="pct" w:w="9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Primary action</w:t>
            </w:r>
          </w:p>
        </w:tc>
        <w:tc>
          <w:tcPr>
            <w:tcW w:type="pct" w:w="26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One filled primary button per header; secondary actions render in outline style</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All surfaces</w:t>
            </w:r>
          </w:p>
        </w:tc>
      </w:tr>
    </w:tbl>
    <w:p>
      <w:pPr>
        <w:pStyle w:val="Heading1"/>
        <w:spacing w:after="160" w:before="360" w:line="380" w:lineRule="atLeast"/>
      </w:pPr>
      <w:bookmarkStart w:name="_Toc9" w:id="9"/>
      <w:r>
        <w:rPr>
          <w:rFonts w:ascii="Times New Roman" w:eastAsia="SimHei"/>
          <w:b/>
          <w:bCs/>
          <w:color w:val="162235"/>
          <w:sz w:val="32"/>
          <w:szCs w:val="32"/>
        </w:rPr>
        <w:t xml:space="preserve">6. Selection, Bulk Operations and Feedback Loops</w:t>
      </w:r>
      <w:bookmarkEnd w:id="9"/>
    </w:p>
    <w:p>
      <w:pPr>
        <w:spacing w:after="120" w:line="312"/>
        <w:jc w:val="both"/>
      </w:pPr>
      <w:r>
        <w:rPr>
          <w:rFonts w:ascii="Times New Roman" w:eastAsia="SimSun"/>
          <w:color w:val="000000"/>
          <w:sz w:val="24"/>
          <w:szCs w:val="24"/>
        </w:rPr>
        <w:t xml:space="preserve">Selection is stored as a set of stable post identifiers, and that single decision carries the whole pattern. Because membership is keyed by id rather than by position or current visibility, selections survive filter changes: an operator can filter to drafts, tick a batch, switch the filter to approved, add more posts, and apply one bulk operation to the union, a behavior the code comment documents as intentional. Select-all operates on the visible subset and is labeled accordingly as selecting all visible posts, so its promise matches its reach. The set is cleared only by an explicit Clear action or by the operation itself succeeding, never silently by a refetch.</w:t>
      </w:r>
    </w:p>
    <w:p>
      <w:pPr>
        <w:spacing w:after="120" w:line="312"/>
        <w:jc w:val="both"/>
      </w:pPr>
      <w:r>
        <w:rPr>
          <w:rFonts w:ascii="Times New Roman" w:eastAsia="SimSun"/>
          <w:color w:val="000000"/>
          <w:sz w:val="24"/>
          <w:szCs w:val="24"/>
        </w:rPr>
        <w:t xml:space="preserve">The bulk bar is contextual and conditional. It does not exist until at least one post is selected, and it then appears as a distinct panel showing the selection count, the status dropdown, and Apply and Clear buttons. Choosing the scheduled status expands three further inputs in place, a start date, a publishing time defaulting to nine in the morning, and a posts-per-day selector from one to four, so the bar grows only as the task grows. Context-conditional buttons follow the same logic elsewhere in the toolbar: the approve-all action renders only when drafts exist and the publish-approved action only when approvals do, each carrying its live count in the label.</w:t>
      </w:r>
    </w:p>
    <w:p>
      <w:pPr>
        <w:spacing w:after="120" w:line="312"/>
        <w:jc w:val="both"/>
      </w:pPr>
      <w:r>
        <w:rPr>
          <w:rFonts w:ascii="Times New Roman" w:eastAsia="SimSun"/>
          <w:color w:val="000000"/>
          <w:sz w:val="24"/>
          <w:szCs w:val="24"/>
        </w:rPr>
        <w:t xml:space="preserve">Applying a bulk operation trusts the response and updates in place. The bulk endpoint returns the updated rows and a skip count; the client merges them into local state without a refetch, so the interface responds instantly and the filter's live counts move with the change. Where an external service sets the pace, processing is sequential with live progress: publishing approved posts walks them one at a time, the button label reading publishing three of twelve as it goes, pacing requests to respect rate limits on the LinkedIn side. Partial failure is tolerated and reported rather than treated as an abort: approvals proceed item by item under an explicit keep-going policy, and the closing toast states the honest tally with the failure cause and remedy in its description.</w:t>
      </w:r>
    </w:p>
    <w:p>
      <w:pPr>
        <w:spacing w:after="120" w:line="312"/>
        <w:jc w:val="both"/>
      </w:pPr>
      <w:r>
        <w:rPr>
          <w:rFonts w:ascii="Times New Roman" w:eastAsia="SimSun"/>
          <w:color w:val="000000"/>
          <w:sz w:val="24"/>
          <w:szCs w:val="24"/>
        </w:rPr>
        <w:t xml:space="preserve">The feedback loop closes in the copy. Toasts restate computed results in plain language: the schedule confirmation repeats the start date, the per-day rate and any skipped posts, so the user can verify what was actually set without reopening anything. Copy-to-clipboard flips its confirmation state for one and a half seconds before reverting, a feedback duration sized to the smallness of the action. Long-running generation is polled every three seconds while the plan status is generating, the progress bar holds a visible four-percent floor so it never looks frozen at zero, polling stops at the first terminal status, and completion or failure is announced with a toast. The rule that covers all of these: every user action ends in a stated, checkable outcome.</w:t>
      </w:r>
    </w:p>
    <w:p>
      <w:pPr>
        <w:pStyle w:val="Heading1"/>
        <w:spacing w:after="160" w:before="360" w:line="380" w:lineRule="atLeast"/>
      </w:pPr>
      <w:bookmarkStart w:name="_Toc10" w:id="10"/>
      <w:r>
        <w:rPr>
          <w:rFonts w:ascii="Times New Roman" w:eastAsia="SimHei"/>
          <w:b/>
          <w:bCs/>
          <w:color w:val="162235"/>
          <w:sz w:val="32"/>
          <w:szCs w:val="32"/>
        </w:rPr>
        <w:t xml:space="preserve">7. The Status Visualization System</w:t>
      </w:r>
      <w:bookmarkEnd w:id="10"/>
    </w:p>
    <w:p>
      <w:pPr>
        <w:spacing w:after="120" w:line="312"/>
        <w:jc w:val="both"/>
      </w:pPr>
      <w:r>
        <w:rPr>
          <w:rFonts w:ascii="Times New Roman" w:eastAsia="SimSun"/>
          <w:color w:val="000000"/>
          <w:sz w:val="24"/>
          <w:szCs w:val="24"/>
        </w:rPr>
        <w:t xml:space="preserve">Workflow status is the platform's most information-dense field, and it is rendered through one shared system of reserved hue slots. Six statuses own six colors: draft zinc, approved emerald, scheduled sky, published purple, failed red, and publishing amber, with amber deliberately reserved for the transient in-flight state, so that an amber card always means something is happening to that post right now. The color rides a four-pixel left border on each post card, which lets a plan read as an informal heatmap of workflow state when scanned vertically. Table 4 records the slots and their semantics.</w:t>
      </w:r>
    </w:p>
    <w:p>
      <w:pPr>
        <w:keepNext/>
        <w:spacing w:after="100" w:before="160" w:line="312"/>
        <w:jc w:val="left"/>
      </w:pPr>
      <w:r>
        <w:rPr>
          <w:rFonts w:ascii="Times New Roman" w:eastAsia="SimSun"/>
          <w:b/>
          <w:bCs/>
          <w:color w:val="162235"/>
          <w:sz w:val="21"/>
          <w:szCs w:val="21"/>
        </w:rPr>
        <w:t xml:space="preserve">Table 4: The six reserved status slots and their semantics</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1758"/>
        <w:gridCol w:w="2109"/>
        <w:gridCol w:w="4921"/>
      </w:tblGrid>
      <w:tr>
        <w:trPr>
          <w:cantSplit/>
          <w:tblHeader/>
        </w:trPr>
        <w:tc>
          <w:tcPr>
            <w:tcW w:type="pct" w:w="10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Status</w:t>
            </w:r>
          </w:p>
        </w:tc>
        <w:tc>
          <w:tcPr>
            <w:tcW w:type="pct" w:w="12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Color slot</w:t>
            </w:r>
          </w:p>
        </w:tc>
        <w:tc>
          <w:tcPr>
            <w:tcW w:type="pct" w:w="28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Semantics</w:t>
            </w:r>
          </w:p>
        </w:tc>
      </w:tr>
      <w:tr>
        <w:trPr>
          <w:cantSplit/>
        </w:trPr>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DRAFT</w:t>
            </w:r>
          </w:p>
        </w:tc>
        <w:tc>
          <w:tcPr>
            <w:tcW w:type="pct" w:w="12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Zinc</w:t>
            </w:r>
          </w:p>
        </w:tc>
        <w:tc>
          <w:tcPr>
            <w:tcW w:type="pct" w:w="2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Generated content awaiting review</w:t>
            </w:r>
          </w:p>
        </w:tc>
      </w:tr>
      <w:tr>
        <w:trPr>
          <w:cantSplit/>
        </w:trPr>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APPROVED</w:t>
            </w:r>
          </w:p>
        </w:tc>
        <w:tc>
          <w:tcPr>
            <w:tcW w:type="pct" w:w="12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Emerald</w:t>
            </w:r>
          </w:p>
        </w:tc>
        <w:tc>
          <w:tcPr>
            <w:tcW w:type="pct" w:w="2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Cleared for publishing</w:t>
            </w:r>
          </w:p>
        </w:tc>
      </w:tr>
      <w:tr>
        <w:trPr>
          <w:cantSplit/>
        </w:trPr>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SCHEDULED</w:t>
            </w:r>
          </w:p>
        </w:tc>
        <w:tc>
          <w:tcPr>
            <w:tcW w:type="pct" w:w="12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Sky</w:t>
            </w:r>
          </w:p>
        </w:tc>
        <w:tc>
          <w:tcPr>
            <w:tcW w:type="pct" w:w="2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Holding a future publish time</w:t>
            </w:r>
          </w:p>
        </w:tc>
      </w:tr>
      <w:tr>
        <w:trPr>
          <w:cantSplit/>
        </w:trPr>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PUBLISHING</w:t>
            </w:r>
          </w:p>
        </w:tc>
        <w:tc>
          <w:tcPr>
            <w:tcW w:type="pct" w:w="12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Amber (transient)</w:t>
            </w:r>
          </w:p>
        </w:tc>
        <w:tc>
          <w:tcPr>
            <w:tcW w:type="pct" w:w="2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Publish call in flight; guarded against re-entry</w:t>
            </w:r>
          </w:p>
        </w:tc>
      </w:tr>
      <w:tr>
        <w:trPr>
          <w:cantSplit/>
        </w:trPr>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PUBLISHED</w:t>
            </w:r>
          </w:p>
        </w:tc>
        <w:tc>
          <w:tcPr>
            <w:tcW w:type="pct" w:w="12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Purple</w:t>
            </w:r>
          </w:p>
        </w:tc>
        <w:tc>
          <w:tcPr>
            <w:tcW w:type="pct" w:w="28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Live on LinkedIn, with URN and timestamp stored</w:t>
            </w:r>
          </w:p>
        </w:tc>
      </w:tr>
      <w:tr>
        <w:trPr>
          <w:cantSplit/>
        </w:trPr>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FAILED</w:t>
            </w:r>
          </w:p>
        </w:tc>
        <w:tc>
          <w:tcPr>
            <w:tcW w:type="pct" w:w="12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Red</w:t>
            </w:r>
          </w:p>
        </w:tc>
        <w:tc>
          <w:tcPr>
            <w:tcW w:type="pct" w:w="28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Terminal failure with the cause stored on the record</w:t>
            </w:r>
          </w:p>
        </w:tc>
      </w:tr>
    </w:tbl>
    <w:p>
      <w:pPr>
        <w:spacing w:after="120" w:line="312"/>
        <w:jc w:val="both"/>
      </w:pPr>
      <w:r>
        <w:rPr>
          <w:rFonts w:ascii="Times New Roman" w:eastAsia="SimSun"/>
          <w:color w:val="000000"/>
          <w:sz w:val="24"/>
          <w:szCs w:val="24"/>
        </w:rPr>
        <w:t xml:space="preserve">Color is never the only channel. Every card also carries a lowercase text badge of its status, so the state survives color-blind reading, printing and screenshots. The badge component itself is shared: the plan status badge is defined once in the Dashboard component and imported by both the Plans list and the Plan Detail workspace, which is why a generating plan shows the same spinner-plus-progress chip, reading twelve of thirty, everywhere it appears. The rule is one status, one badge, one definition: surfaces consume the component, they do not restyle the concept.</w:t>
      </w:r>
    </w:p>
    <w:p>
      <w:pPr>
        <w:spacing w:after="120" w:line="312"/>
        <w:jc w:val="both"/>
      </w:pPr>
      <w:r>
        <w:rPr>
          <w:rFonts w:ascii="Times New Roman" w:eastAsia="SimSun"/>
          <w:color w:val="000000"/>
          <w:sz w:val="24"/>
          <w:szCs w:val="24"/>
        </w:rPr>
        <w:t xml:space="preserve">The same single-source discipline covers post types, rendered through a lookup record that maps each of the six types to an icon with a safe text fallback for anything unknown, and it extends to action affordances: the one-click publish action wears LinkedIn's own brand blue rather than the application purple, reserving the platform color for platform-state actions and the network color for the network boundary. Empty calendar days complete the system as deliberately designed absences, drawn as dashed, non-interactive placeholders that carry no button role and no tab stop, so keyboard users skip them entirely.</w:t>
      </w:r>
    </w:p>
    <w:p>
      <w:pPr>
        <w:pStyle w:val="Heading1"/>
        <w:spacing w:after="160" w:before="360" w:line="380" w:lineRule="atLeast"/>
      </w:pPr>
      <w:bookmarkStart w:name="_Toc11" w:id="11"/>
      <w:r>
        <w:rPr>
          <w:rFonts w:ascii="Times New Roman" w:eastAsia="SimHei"/>
          <w:b/>
          <w:bCs/>
          <w:color w:val="162235"/>
          <w:sz w:val="32"/>
          <w:szCs w:val="32"/>
        </w:rPr>
        <w:t xml:space="preserve">8. Accessibility, Responsiveness and Data Integrity</w:t>
      </w:r>
      <w:bookmarkEnd w:id="11"/>
    </w:p>
    <w:p>
      <w:pPr>
        <w:pStyle w:val="Heading2"/>
        <w:spacing w:after="120" w:before="260" w:line="340" w:lineRule="atLeast"/>
      </w:pPr>
      <w:bookmarkStart w:name="_Toc12" w:id="12"/>
      <w:r>
        <w:rPr>
          <w:rFonts w:ascii="Times New Roman" w:eastAsia="SimHei"/>
          <w:b/>
          <w:bCs/>
          <w:color w:val="162235"/>
          <w:sz w:val="28"/>
          <w:szCs w:val="28"/>
        </w:rPr>
        <w:t xml:space="preserve">8.1 ARIA labels and keyboard operation</w:t>
      </w:r>
      <w:bookmarkEnd w:id="12"/>
    </w:p>
    <w:p>
      <w:pPr>
        <w:spacing w:after="120" w:line="312"/>
        <w:jc w:val="both"/>
      </w:pPr>
      <w:r>
        <w:rPr>
          <w:rFonts w:ascii="Times New Roman" w:eastAsia="SimSun"/>
          <w:color w:val="000000"/>
          <w:sz w:val="24"/>
          <w:szCs w:val="24"/>
        </w:rPr>
        <w:t xml:space="preserve">The Plan Detail workspace is the platform's accessibility reference implementation. Every control that would otherwise be unnamed carries an ARIA label: the bulk status select, the schedule date, time and posts-per-day inputs, and every row checkbox, which is labeled with the post's own hook or day number rather than a generic select. Cards and calendar cells that behave as buttons declare the button role, take a tab stop, and bind both Enter and Space in addition to click, while checkbox clicks are stopped from propagating so that ticking a row does not open it. No other surface currently matches this standard, which is precisely why it is documented here as the pattern to copy rather than an exception to forgive.</w:t>
      </w:r>
    </w:p>
    <w:p>
      <w:pPr>
        <w:pStyle w:val="Heading2"/>
        <w:spacing w:after="120" w:before="260" w:line="340" w:lineRule="atLeast"/>
      </w:pPr>
      <w:bookmarkStart w:name="_Toc13" w:id="13"/>
      <w:r>
        <w:rPr>
          <w:rFonts w:ascii="Times New Roman" w:eastAsia="SimHei"/>
          <w:b/>
          <w:bCs/>
          <w:color w:val="162235"/>
          <w:sz w:val="28"/>
          <w:szCs w:val="28"/>
        </w:rPr>
        <w:t xml:space="preserve">8.2 Responsive behavior</w:t>
      </w:r>
      <w:bookmarkEnd w:id="13"/>
    </w:p>
    <w:p>
      <w:pPr>
        <w:spacing w:after="120" w:line="312"/>
        <w:jc w:val="both"/>
      </w:pPr>
      <w:r>
        <w:rPr>
          <w:rFonts w:ascii="Times New Roman" w:eastAsia="SimSun"/>
          <w:color w:val="000000"/>
          <w:sz w:val="24"/>
          <w:szCs w:val="24"/>
        </w:rPr>
        <w:t xml:space="preserve">Layouts compress by reordering rather than by hiding features. The KPI row steps from six columns on desktop to three on tablets and two on phones, keeping every card reachable without horizontal scroll. The post editor's two-column grid collapses to a single column on medium screens with the media panel moving below the copy; per-post scheduled datetimes hide on small screens where they would crowd the row, while the same information stays available inside the editor dialog. Header toolbars stack vertically on mobile before they would wrap awkwardly. The rule: the small-screen arrangement is designed, not an overflow.</w:t>
      </w:r>
    </w:p>
    <w:p>
      <w:pPr>
        <w:pStyle w:val="Heading2"/>
        <w:spacing w:after="120" w:before="260" w:line="340" w:lineRule="atLeast"/>
      </w:pPr>
      <w:bookmarkStart w:name="_Toc14" w:id="14"/>
      <w:r>
        <w:rPr>
          <w:rFonts w:ascii="Times New Roman" w:eastAsia="SimHei"/>
          <w:b/>
          <w:bCs/>
          <w:color w:val="162235"/>
          <w:sz w:val="28"/>
          <w:szCs w:val="28"/>
        </w:rPr>
        <w:t xml:space="preserve">8.3 Timezones, snapshots and save-order integrity</w:t>
      </w:r>
      <w:bookmarkEnd w:id="14"/>
    </w:p>
    <w:p>
      <w:pPr>
        <w:spacing w:after="120" w:line="312"/>
        <w:jc w:val="both"/>
      </w:pPr>
      <w:r>
        <w:rPr>
          <w:rFonts w:ascii="Times New Roman" w:eastAsia="SimSun"/>
          <w:color w:val="000000"/>
          <w:sz w:val="24"/>
          <w:szCs w:val="24"/>
        </w:rPr>
        <w:t xml:space="preserve">Three quiet correctness patterns protect the data behind the interface. Scheduling inputs use the browser's datetime-local value built in the user's local timezone by an explicit conversion helper: the server stores ISO instants, the interface renders local wall-clock time, and the two never blur. Media attachment follows a documented fallback chain, from the freshly generated in-memory preview, to the attachment's file URL, to the inline data snapshot stored on the post itself, so images survive serverless instance recycling, and legacy posts carrying only an asset reference still show an honest attached state instead of a broken image. And the publish action saves the editor's current form before it publishes, which guarantees that the post that goes live is the post the user was just looking at.</w:t>
      </w:r>
    </w:p>
    <w:p>
      <w:pPr>
        <w:pStyle w:val="Heading1"/>
        <w:spacing w:after="160" w:before="360" w:line="380" w:lineRule="atLeast"/>
      </w:pPr>
      <w:bookmarkStart w:name="_Toc15" w:id="15"/>
      <w:r>
        <w:rPr>
          <w:rFonts w:ascii="Times New Roman" w:eastAsia="SimHei"/>
          <w:b/>
          <w:bCs/>
          <w:color w:val="162235"/>
          <w:sz w:val="32"/>
          <w:szCs w:val="32"/>
        </w:rPr>
        <w:t xml:space="preserve">9. Deviation Register: Where the Build Breaks Its Own Rules</w:t>
      </w:r>
      <w:bookmarkEnd w:id="15"/>
    </w:p>
    <w:p>
      <w:pPr>
        <w:spacing w:after="120" w:line="312"/>
        <w:jc w:val="both"/>
      </w:pPr>
      <w:r>
        <w:rPr>
          <w:rFonts w:ascii="Times New Roman" w:eastAsia="SimSun"/>
          <w:color w:val="000000"/>
          <w:sz w:val="24"/>
          <w:szCs w:val="24"/>
        </w:rPr>
        <w:t xml:space="preserve">A best-practices review is credible only if it records where the build departs from its own rules. Five deviations are on file from the same review pass, all cheap relative to their value to fix. Each is listed in Table 5 with the rule it violates, the evidence in the code, and the cost of correction. None of the five requires new source data or new dependencies, which is what makes the register actionable rather than aspirational.</w:t>
      </w:r>
    </w:p>
    <w:p>
      <w:pPr>
        <w:keepNext/>
        <w:spacing w:after="100" w:before="160" w:line="312"/>
        <w:jc w:val="left"/>
      </w:pPr>
      <w:r>
        <w:rPr>
          <w:rFonts w:ascii="Times New Roman" w:eastAsia="SimSun"/>
          <w:b/>
          <w:bCs/>
          <w:color w:val="162235"/>
          <w:sz w:val="21"/>
          <w:szCs w:val="21"/>
        </w:rPr>
        <w:t xml:space="preserve">Table 5: Deviations from the platform's own best practices</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2109"/>
        <w:gridCol w:w="2285"/>
        <w:gridCol w:w="2636"/>
        <w:gridCol w:w="1758"/>
      </w:tblGrid>
      <w:tr>
        <w:trPr>
          <w:cantSplit/>
          <w:tblHeader/>
        </w:trPr>
        <w:tc>
          <w:tcPr>
            <w:tcW w:type="pct" w:w="12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Deviation</w:t>
            </w:r>
          </w:p>
        </w:tc>
        <w:tc>
          <w:tcPr>
            <w:tcW w:type="pct" w:w="13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Rule violated</w:t>
            </w:r>
          </w:p>
        </w:tc>
        <w:tc>
          <w:tcPr>
            <w:tcW w:type="pct" w:w="15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Evidence</w:t>
            </w:r>
          </w:p>
        </w:tc>
        <w:tc>
          <w:tcPr>
            <w:tcW w:type="pct" w:w="10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Cost to fix</w:t>
            </w:r>
          </w:p>
        </w:tc>
      </w:tr>
      <w:tr>
        <w:trPr>
          <w:cantSplit/>
        </w:trPr>
        <w:tc>
          <w:tcPr>
            <w:tcW w:type="pct" w:w="12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Computed published counter never rendered</w:t>
            </w:r>
          </w:p>
        </w:tc>
        <w:tc>
          <w:tcPr>
            <w:tcW w:type="pct" w:w="1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Every computed field is displayed or deleted</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stats.published returned by /api/stats; no card consumes it</w:t>
            </w:r>
          </w:p>
        </w:tc>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Trivial: one KPI card</w:t>
            </w:r>
          </w:p>
        </w:tc>
      </w:tr>
      <w:tr>
        <w:trPr>
          <w:cantSplit/>
        </w:trPr>
        <w:tc>
          <w:tcPr>
            <w:tcW w:type="pct" w:w="12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Calendar ignores the active status filter</w:t>
            </w:r>
          </w:p>
        </w:tc>
        <w:tc>
          <w:tcPr>
            <w:tcW w:type="pct" w:w="1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 filter applies to every layout rendering the same entities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Calendar branch of PlanDetailView reads the full posts array</w:t>
            </w:r>
          </w:p>
        </w:tc>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 respect the filter or label the calendar as unfiltered</w:t>
            </w:r>
          </w:p>
        </w:tc>
      </w:tr>
      <w:tr>
        <w:trPr>
          <w:cantSplit/>
        </w:trPr>
        <w:tc>
          <w:tcPr>
            <w:tcW w:type="pct" w:w="12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Chart and table primitives installed but unused</w:t>
            </w:r>
          </w:p>
        </w:tc>
        <w:tc>
          <w:tcPr>
            <w:tcW w:type="pct" w:w="1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Dependencies are either used or removed</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recharts in package.json; ui/chart.tsx and ui/table.tsx imported by no view</w:t>
            </w:r>
          </w:p>
        </w:tc>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 first charts need no new dependency, otherwise remove</w:t>
            </w:r>
          </w:p>
        </w:tc>
      </w:tr>
      <w:tr>
        <w:trPr>
          <w:cantSplit/>
        </w:trPr>
        <w:tc>
          <w:tcPr>
            <w:tcW w:type="pct" w:w="12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Filter state is ephemeral</w:t>
            </w:r>
          </w:p>
        </w:tc>
        <w:tc>
          <w:tcPr>
            <w:tcW w:type="pct" w:w="13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View state a user sets should survive navigation or be shareable</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Filters live in component state only; absent from URL and storage</w:t>
            </w:r>
          </w:p>
        </w:tc>
        <w:tc>
          <w:tcPr>
            <w:tcW w:type="pct" w:w="10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 encode filter in query params when analytics work begins</w:t>
            </w:r>
          </w:p>
        </w:tc>
      </w:tr>
      <w:tr>
        <w:trPr>
          <w:cantSplit/>
        </w:trPr>
        <w:tc>
          <w:tcPr>
            <w:tcW w:type="pct" w:w="12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Five surfaces have no search or filters</w:t>
            </w:r>
          </w:p>
        </w:tc>
        <w:tc>
          <w:tcPr>
            <w:tcW w:type="pct" w:w="13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 surface whose library grows needs findability</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Media, Knowledge, Agents, Brands and Brand Detail offer no search or filter</w:t>
            </w:r>
          </w:p>
        </w:tc>
        <w:tc>
          <w:tcPr>
            <w:tcW w:type="pct" w:w="10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Low: client-side search over fields that already exist</w:t>
            </w:r>
          </w:p>
        </w:tc>
      </w:tr>
    </w:tbl>
    <w:p>
      <w:pPr>
        <w:spacing w:after="120" w:line="312"/>
        <w:jc w:val="both"/>
      </w:pPr>
      <w:r>
        <w:rPr>
          <w:rFonts w:ascii="Times New Roman" w:eastAsia="SimSun"/>
          <w:color w:val="000000"/>
          <w:sz w:val="24"/>
          <w:szCs w:val="24"/>
        </w:rPr>
        <w:t xml:space="preserve">Two of the five deserve emphasis because they compound over time. The unused chart stack is the companion audit's central finding restated as a practice violation: had the platform followed its own convention of using what it installs, the first charts would already exist. And ephemeral filter state becomes a blocker the moment reporting gains shareable views, because a filtered, URL-addressable post list is the natural seed of the analytics roadmap, and retrofitting state into the URL is cheapest before more surfaces grow filters.</w:t>
      </w:r>
    </w:p>
    <w:p>
      <w:pPr>
        <w:pStyle w:val="Heading1"/>
        <w:spacing w:after="160" w:before="360" w:line="380" w:lineRule="atLeast"/>
      </w:pPr>
      <w:bookmarkStart w:name="_Toc16" w:id="16"/>
      <w:r>
        <w:rPr>
          <w:rFonts w:ascii="Times New Roman" w:eastAsia="SimHei"/>
          <w:b/>
          <w:bCs/>
          <w:color w:val="162235"/>
          <w:sz w:val="32"/>
          <w:szCs w:val="32"/>
        </w:rPr>
        <w:t xml:space="preserve">10. The Best-Practices Checklist and Conclusions</w:t>
      </w:r>
      <w:bookmarkEnd w:id="16"/>
    </w:p>
    <w:p>
      <w:pPr>
        <w:spacing w:after="120" w:line="312"/>
        <w:jc w:val="both"/>
      </w:pPr>
      <w:r>
        <w:rPr>
          <w:rFonts w:ascii="Times New Roman" w:eastAsia="SimSun"/>
          <w:color w:val="000000"/>
          <w:sz w:val="24"/>
          <w:szCs w:val="24"/>
        </w:rPr>
        <w:t xml:space="preserve">The fourteen rules below compress the review into an acceptance gate. A new reporting surface, including the analytics endpoint and first charts recommended by the companion audit, is done when every line can be answered yes at code review. Each rule names where it is checked so the list can be applied without this document in hand.</w:t>
      </w:r>
    </w:p>
    <w:p>
      <w:pPr>
        <w:keepNext/>
        <w:spacing w:after="100" w:before="160" w:line="312"/>
        <w:jc w:val="left"/>
      </w:pPr>
      <w:r>
        <w:rPr>
          <w:rFonts w:ascii="Times New Roman" w:eastAsia="SimSun"/>
          <w:b/>
          <w:bCs/>
          <w:color w:val="162235"/>
          <w:sz w:val="21"/>
          <w:szCs w:val="21"/>
        </w:rPr>
        <w:t xml:space="preserve">Table 6: Fourteen-rule acceptance checklist for reporting surfaces</w:t>
      </w:r>
    </w:p>
    <w:tbl>
      <w:tblPr>
        <w:tblW w:type="pct" w:w="5000"/>
        <w:tblBorders>
          <w:top w:val="single" w:color="1B6B7A" w:sz="6"/>
          <w:left w:val="none" w:color="auto" w:sz="0"/>
          <w:bottom w:val="single" w:color="1B6B7A" w:sz="6"/>
          <w:right w:val="none" w:color="auto" w:sz="0"/>
          <w:insideH w:val="single" w:color="C8DDE2" w:sz="2"/>
          <w:insideV w:val="none" w:color="auto" w:sz="0"/>
        </w:tblBorders>
      </w:tblPr>
      <w:tblGrid>
        <w:gridCol w:w="703"/>
        <w:gridCol w:w="5449"/>
        <w:gridCol w:w="2636"/>
      </w:tblGrid>
      <w:tr>
        <w:trPr>
          <w:cantSplit/>
          <w:tblHeader/>
        </w:trPr>
        <w:tc>
          <w:tcPr>
            <w:tcW w:type="pct" w:w="4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No.</w:t>
            </w:r>
          </w:p>
        </w:tc>
        <w:tc>
          <w:tcPr>
            <w:tcW w:type="pct" w:w="31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Rule</w:t>
            </w:r>
          </w:p>
        </w:tc>
        <w:tc>
          <w:tcPr>
            <w:tcW w:type="pct" w:w="1500"/>
            <w:shd w:fill="1B6B7A" w:val="clear"/>
            <w:tcMar>
              <w:top w:type="dxa" w:w="70"/>
              <w:left w:type="dxa" w:w="120"/>
              <w:bottom w:type="dxa" w:w="70"/>
              <w:right w:type="dxa" w:w="120"/>
            </w:tcMar>
          </w:tcPr>
          <w:p>
            <w:pPr>
              <w:spacing w:line="312" w:lineRule="atLeast"/>
              <w:jc w:val="left"/>
            </w:pPr>
            <w:r>
              <w:rPr>
                <w:rFonts w:ascii="Times New Roman" w:eastAsia="SimSun"/>
                <w:b/>
                <w:bCs/>
                <w:color w:val="FFFFFF"/>
                <w:sz w:val="20"/>
                <w:szCs w:val="20"/>
              </w:rPr>
              <w:t xml:space="preserve">Checked in</w:t>
            </w:r>
          </w:p>
        </w:tc>
      </w:tr>
      <w:tr>
        <w:trPr>
          <w:cantSplit/>
        </w:trPr>
        <w:tc>
          <w:tcPr>
            <w:tcW w:type="pct" w:w="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1</w:t>
            </w:r>
          </w:p>
        </w:tc>
        <w:tc>
          <w:tcPr>
            <w:tcW w:type="pct" w:w="3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Loading renders skeletons matching the final content geometry, never zeros</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Component source</w:t>
            </w:r>
          </w:p>
        </w:tc>
      </w:tr>
      <w:tr>
        <w:trPr>
          <w:cantSplit/>
        </w:trPr>
        <w:tc>
          <w:tcPr>
            <w:tcW w:type="pct" w:w="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2</w:t>
            </w:r>
          </w:p>
        </w:tc>
        <w:tc>
          <w:tcPr>
            <w:tcW w:type="pct" w:w="3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Every computed field is rendered somewhere, or removed from the API</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API and view diff</w:t>
            </w:r>
          </w:p>
        </w:tc>
      </w:tr>
      <w:tr>
        <w:trPr>
          <w:cantSplit/>
        </w:trPr>
        <w:tc>
          <w:tcPr>
            <w:tcW w:type="pct" w:w="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3</w:t>
            </w:r>
          </w:p>
        </w:tc>
        <w:tc>
          <w:tcPr>
            <w:tcW w:type="pct" w:w="3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Filter option counts are computed from the full dataset, not the visible subset</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Filter component</w:t>
            </w:r>
          </w:p>
        </w:tc>
      </w:tr>
      <w:tr>
        <w:trPr>
          <w:cantSplit/>
        </w:trPr>
        <w:tc>
          <w:tcPr>
            <w:tcW w:type="pct" w:w="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4</w:t>
            </w:r>
          </w:p>
        </w:tc>
        <w:tc>
          <w:tcPr>
            <w:tcW w:type="pct" w:w="3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 filter applies to every layout that renders the same entities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Both layouts</w:t>
            </w:r>
          </w:p>
        </w:tc>
      </w:tr>
      <w:tr>
        <w:trPr>
          <w:cantSplit/>
        </w:trPr>
        <w:tc>
          <w:tcPr>
            <w:tcW w:type="pct" w:w="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5</w:t>
            </w:r>
          </w:p>
        </w:tc>
        <w:tc>
          <w:tcPr>
            <w:tcW w:type="pct" w:w="3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Empty states distinguish no-data from no-match and offer the next action</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Component source</w:t>
            </w:r>
          </w:p>
        </w:tc>
      </w:tr>
      <w:tr>
        <w:trPr>
          <w:cantSplit/>
        </w:trPr>
        <w:tc>
          <w:tcPr>
            <w:tcW w:type="pct" w:w="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6</w:t>
            </w:r>
          </w:p>
        </w:tc>
        <w:tc>
          <w:tcPr>
            <w:tcW w:type="pct" w:w="3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Every mutation ends in a toast whose copy states the outcome</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Action handlers</w:t>
            </w:r>
          </w:p>
        </w:tc>
      </w:tr>
      <w:tr>
        <w:trPr>
          <w:cantSplit/>
        </w:trPr>
        <w:tc>
          <w:tcPr>
            <w:tcW w:type="pct" w:w="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7</w:t>
            </w:r>
          </w:p>
        </w:tc>
        <w:tc>
          <w:tcPr>
            <w:tcW w:type="pct" w:w="3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Partial failures report the honest tally with the remedy</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Bulk handlers</w:t>
            </w:r>
          </w:p>
        </w:tc>
      </w:tr>
      <w:tr>
        <w:trPr>
          <w:cantSplit/>
        </w:trPr>
        <w:tc>
          <w:tcPr>
            <w:tcW w:type="pct" w:w="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8</w:t>
            </w:r>
          </w:p>
        </w:tc>
        <w:tc>
          <w:tcPr>
            <w:tcW w:type="pct" w:w="3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Bulk operations merge the response into state without a refetch</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Bulk handler</w:t>
            </w:r>
          </w:p>
        </w:tc>
      </w:tr>
      <w:tr>
        <w:trPr>
          <w:cantSplit/>
        </w:trPr>
        <w:tc>
          <w:tcPr>
            <w:tcW w:type="pct" w:w="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9</w:t>
            </w:r>
          </w:p>
        </w:tc>
        <w:tc>
          <w:tcPr>
            <w:tcW w:type="pct" w:w="3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External calls process sequentially with visible progress</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Publish path</w:t>
            </w:r>
          </w:p>
        </w:tc>
      </w:tr>
      <w:tr>
        <w:trPr>
          <w:cantSplit/>
        </w:trPr>
        <w:tc>
          <w:tcPr>
            <w:tcW w:type="pct" w:w="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10</w:t>
            </w:r>
          </w:p>
        </w:tc>
        <w:tc>
          <w:tcPr>
            <w:tcW w:type="pct" w:w="3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Selection is a set of stable ids and survives filter changes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Selection logic</w:t>
            </w:r>
          </w:p>
        </w:tc>
      </w:tr>
      <w:tr>
        <w:trPr>
          <w:cantSplit/>
        </w:trPr>
        <w:tc>
          <w:tcPr>
            <w:tcW w:type="pct" w:w="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11</w:t>
            </w:r>
          </w:p>
        </w:tc>
        <w:tc>
          <w:tcPr>
            <w:tcW w:type="pct" w:w="3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Contextual bars appear only when applicable and grow only with the task</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Toolbar rendering</w:t>
            </w:r>
          </w:p>
        </w:tc>
      </w:tr>
      <w:tr>
        <w:trPr>
          <w:cantSplit/>
        </w:trPr>
        <w:tc>
          <w:tcPr>
            <w:tcW w:type="pct" w:w="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12</w:t>
            </w:r>
          </w:p>
        </w:tc>
        <w:tc>
          <w:tcPr>
            <w:tcW w:type="pct" w:w="3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Statuses use the shared badge component and the six reserved hue slots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Status rendering</w:t>
            </w:r>
          </w:p>
        </w:tc>
      </w:tr>
      <w:tr>
        <w:trPr>
          <w:cantSplit/>
        </w:trPr>
        <w:tc>
          <w:tcPr>
            <w:tcW w:type="pct" w:w="4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13</w:t>
            </w:r>
          </w:p>
        </w:tc>
        <w:tc>
          <w:tcPr>
            <w:tcW w:type="pct" w:w="31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Every icon-only or otherwise unlabeled control carries an ARIA label</w:t>
            </w:r>
          </w:p>
        </w:tc>
        <w:tc>
          <w:tcPr>
            <w:tcW w:type="pct" w:w="1500"/>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Component source</w:t>
            </w:r>
          </w:p>
        </w:tc>
      </w:tr>
      <w:tr>
        <w:trPr>
          <w:cantSplit/>
        </w:trPr>
        <w:tc>
          <w:tcPr>
            <w:tcW w:type="pct" w:w="4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14</w:t>
            </w:r>
          </w:p>
        </w:tc>
        <w:tc>
          <w:tcPr>
            <w:tcW w:type="pct" w:w="31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Datetimes render local wall clock and store ISO instants</w:t>
            </w:r>
          </w:p>
        </w:tc>
        <w:tc>
          <w:tcPr>
            <w:tcW w:type="pct" w:w="1500"/>
            <w:shd w:fill="EDF3F5" w:val="clear"/>
            <w:tcMar>
              <w:top w:type="dxa" w:w="70"/>
              <w:left w:type="dxa" w:w="120"/>
              <w:bottom w:type="dxa" w:w="70"/>
              <w:right w:type="dxa" w:w="120"/>
            </w:tcMar>
          </w:tcPr>
          <w:p>
            <w:pPr>
              <w:spacing w:line="312" w:lineRule="atLeast"/>
              <w:jc w:val="left"/>
            </w:pPr>
            <w:r>
              <w:rPr>
                <w:rFonts w:ascii="Times New Roman" w:eastAsia="SimSun"/>
                <w:b w:val="false"/>
                <w:bCs w:val="false"/>
                <w:color w:val="000000"/>
                <w:sz w:val="20"/>
                <w:szCs w:val="20"/>
              </w:rPr>
              <w:t xml:space="preserve">Scheduling code</w:t>
            </w:r>
          </w:p>
        </w:tc>
      </w:tr>
    </w:tbl>
    <w:p>
      <w:pPr>
        <w:spacing w:after="120" w:line="312"/>
        <w:jc w:val="both"/>
      </w:pPr>
      <w:r>
        <w:rPr>
          <w:rFonts w:ascii="Times New Roman" w:eastAsia="SimSun"/>
          <w:color w:val="000000"/>
          <w:sz w:val="24"/>
          <w:szCs w:val="24"/>
        </w:rPr>
        <w:t xml:space="preserve">The conclusion of the review is that the discipline which makes the Plan Detail workspace the platform's best reporting surface, honest counts, a selection model that cooperates with filtering, reserved status semantics, named controls and stated outcomes, is not expensive, and six of its fourteen rules are already platform-wide. The gaps are coverage and consistency rather than invention: every pattern in this document exists, works and is named in the shipped code. Building the next reporting features under the same rules, with the checklist as the merge gate, turns each new surface into an increment of one product rather than a fresh set of decisions.</w:t>
      </w:r>
    </w:p>
    <w:p>
      <w:pPr>
        <w:spacing w:after="120" w:line="312"/>
        <w:jc w:val="both"/>
      </w:pPr>
      <w:r>
        <w:rPr>
          <w:rFonts w:ascii="Times New Roman" w:eastAsia="SimSun"/>
          <w:color w:val="000000"/>
          <w:sz w:val="24"/>
          <w:szCs w:val="24"/>
        </w:rPr>
        <w:t xml:space="preserve">The recommended first application of this document is the highest-priority work package from the companion audit: the analytics endpoint and the first two dashboard charts. That package should land with the same state craft the rest of the platform already enjoys, skeletons on load, a designed empty state before the first data arrives, and toasts that restate what was computed, because the first chart a stakeholder sees will set their expectation of every chart that follows.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Reporting UI/UX Best Practices - Massapro Content Wizz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Reporting UI/UX Best Practices - Massapro Content Wizz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162235"/>
      <w:sz w:val="32"/>
      <w:szCs w:val="32"/>
    </w:rPr>
  </w:style>
  <w:style w:type="paragraph" w:styleId="Heading2">
    <w:name w:val="Heading 2"/>
    <w:basedOn w:val="Normal"/>
    <w:next w:val="Normal"/>
    <w:qFormat/>
    <w:pPr>
      <w:spacing w:after="120" w:before="260" w:line="340"/>
      <w:outlineLvl w:val="1"/>
    </w:pPr>
    <w:rPr>
      <w:rFonts w:ascii="Times New Roman" w:eastAsia="SimHei"/>
      <w:b/>
      <w:bCs/>
      <w:color w:val="162235"/>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56d414abd52898d018fe8b702a456373fb1a74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UI/UX Best Practices</dc:title>
  <dc:creator>Massapro</dc:creator>
  <cp:lastModifiedBy>Un-named</cp:lastModifiedBy>
  <cp:revision>1</cp:revision>
  <dcterms:created xsi:type="dcterms:W3CDTF">2026-10-08T17:59:04.513Z</dcterms:created>
  <dcterms:modified xsi:type="dcterms:W3CDTF">2026-10-08T17:59:04.513Z</dcterms:modified>
</cp:coreProperties>
</file>

<file path=docProps/custom.xml><?xml version="1.0" encoding="utf-8"?>
<Properties xmlns="http://schemas.openxmlformats.org/officeDocument/2006/custom-properties" xmlns:vt="http://schemas.openxmlformats.org/officeDocument/2006/docPropsVTypes"/>
</file>