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C557" w14:textId="77777777" w:rsidR="00176533" w:rsidRDefault="00BE591B">
      <w:pPr>
        <w:pStyle w:val="Title"/>
      </w:pPr>
      <w:bookmarkStart w:id="0" w:name="_o8wpbc4atj3v" w:colFirst="0" w:colLast="0"/>
      <w:bookmarkEnd w:id="0"/>
      <w:r>
        <w:t>Introduction</w:t>
      </w:r>
    </w:p>
    <w:p w14:paraId="0E79DD21" w14:textId="1E4EE510" w:rsidR="00176533" w:rsidRDefault="00E67D09">
      <w:r>
        <w:t xml:space="preserve">This smart contract allows </w:t>
      </w:r>
      <w:r w:rsidR="00253CBB">
        <w:t>fundraisers and</w:t>
      </w:r>
      <w:r>
        <w:t xml:space="preserve"> founders participate in a trustless and secure crowdfunding campaign without the need for 3</w:t>
      </w:r>
      <w:r w:rsidRPr="00E67D09">
        <w:rPr>
          <w:vertAlign w:val="superscript"/>
        </w:rPr>
        <w:t>rd</w:t>
      </w:r>
      <w:r>
        <w:t xml:space="preserve"> Parties and intermediaries.</w:t>
      </w:r>
    </w:p>
    <w:p w14:paraId="5510C0BD" w14:textId="67CFAD5B" w:rsidR="00E67D09" w:rsidRDefault="00E67D09">
      <w:r>
        <w:t>In the crowdfunding campaign</w:t>
      </w:r>
      <w:r w:rsidR="00AC0114">
        <w:t>, when participants contribute to their projects, the funds are locked temporarily</w:t>
      </w:r>
      <w:r w:rsidR="00CF6A64">
        <w:t xml:space="preserve"> in the smart contract</w:t>
      </w:r>
      <w:r w:rsidR="00AC0114">
        <w:t xml:space="preserve"> until the pool of investment meet the predefined threshold.</w:t>
      </w:r>
      <w:r w:rsidR="00253CBB">
        <w:t xml:space="preserve"> If the funding succeeds the contract unlocks certain predefined rights and corresponding actions for the fundraisers and founders</w:t>
      </w:r>
      <w:r w:rsidR="0053616F">
        <w:t>, it then locks the funds in a DAO</w:t>
      </w:r>
      <w:r w:rsidR="00253CBB">
        <w:t xml:space="preserve">. </w:t>
      </w:r>
      <w:r w:rsidR="00AC0114">
        <w:t>In a situation where the set conditions are not met the crowdfunding fails and the contract unlocks the funds contributed, which are now returned back to the contributors.</w:t>
      </w:r>
    </w:p>
    <w:p w14:paraId="790BB44C" w14:textId="5110C065" w:rsidR="00AC0114" w:rsidRDefault="00AC0114"/>
    <w:p w14:paraId="0AB1B50B" w14:textId="77777777" w:rsidR="00AC0114" w:rsidRDefault="00AC0114"/>
    <w:p w14:paraId="7424F7FA" w14:textId="77777777" w:rsidR="00176533" w:rsidRDefault="00BE591B">
      <w:pPr>
        <w:pStyle w:val="Title"/>
      </w:pPr>
      <w:bookmarkStart w:id="1" w:name="_2b6dpajmlnql" w:colFirst="0" w:colLast="0"/>
      <w:bookmarkEnd w:id="1"/>
      <w:r>
        <w:t>Features</w:t>
      </w:r>
    </w:p>
    <w:p w14:paraId="494A2C7A" w14:textId="77777777" w:rsidR="00176533" w:rsidRDefault="00BE591B">
      <w:r>
        <w:t>The Following functionalities are needed in the smart contract:</w:t>
      </w:r>
    </w:p>
    <w:p w14:paraId="3D992B7F" w14:textId="77777777" w:rsidR="00176533" w:rsidRDefault="00176533"/>
    <w:p w14:paraId="4931FA7D" w14:textId="68D0D9BF" w:rsidR="00176533" w:rsidRDefault="001B65F8" w:rsidP="001B65F8">
      <w:pPr>
        <w:numPr>
          <w:ilvl w:val="0"/>
          <w:numId w:val="11"/>
        </w:numPr>
      </w:pPr>
      <w:r>
        <w:t>Ability to fund/contribute to projects</w:t>
      </w:r>
    </w:p>
    <w:p w14:paraId="5F8552F8" w14:textId="24DF6C4C" w:rsidR="001B65F8" w:rsidRDefault="001B65F8" w:rsidP="001B65F8">
      <w:pPr>
        <w:numPr>
          <w:ilvl w:val="0"/>
          <w:numId w:val="11"/>
        </w:numPr>
      </w:pPr>
      <w:r>
        <w:t>Ability to check if conditions are reached at the deadline of the fundraising.</w:t>
      </w:r>
    </w:p>
    <w:p w14:paraId="52B5F27C" w14:textId="7F0B62FD" w:rsidR="001B65F8" w:rsidRDefault="001B65F8" w:rsidP="001B65F8">
      <w:pPr>
        <w:numPr>
          <w:ilvl w:val="0"/>
          <w:numId w:val="11"/>
        </w:numPr>
      </w:pPr>
      <w:r>
        <w:t>Ability to refund fundraisers/contributors if the fundraising failed.</w:t>
      </w:r>
    </w:p>
    <w:p w14:paraId="353DE67B" w14:textId="06654DE2" w:rsidR="001B65F8" w:rsidRDefault="001B65F8" w:rsidP="001B65F8">
      <w:pPr>
        <w:numPr>
          <w:ilvl w:val="0"/>
          <w:numId w:val="11"/>
        </w:numPr>
      </w:pPr>
      <w:r>
        <w:t>Ability to forward funds to the DAO if the fundraising is successful.</w:t>
      </w:r>
    </w:p>
    <w:p w14:paraId="77699AFC" w14:textId="35C972F1" w:rsidR="00E16059" w:rsidRDefault="00E16059" w:rsidP="001B65F8">
      <w:pPr>
        <w:numPr>
          <w:ilvl w:val="0"/>
          <w:numId w:val="11"/>
        </w:numPr>
      </w:pPr>
      <w:r>
        <w:t>Issuance of smart tokens(rights) which binds fundraisers to their funds.</w:t>
      </w:r>
    </w:p>
    <w:p w14:paraId="0C4B52C8" w14:textId="4F71103B" w:rsidR="001C2AC6" w:rsidRDefault="001C2AC6" w:rsidP="001B65F8">
      <w:pPr>
        <w:numPr>
          <w:ilvl w:val="0"/>
          <w:numId w:val="11"/>
        </w:numPr>
      </w:pPr>
      <w:r>
        <w:t>Voting system for beneficiaries based on issued tokens</w:t>
      </w:r>
    </w:p>
    <w:p w14:paraId="3F8883BF" w14:textId="11A4E27A" w:rsidR="001C2AC6" w:rsidRDefault="001C2AC6" w:rsidP="001B65F8">
      <w:pPr>
        <w:numPr>
          <w:ilvl w:val="0"/>
          <w:numId w:val="11"/>
        </w:numPr>
      </w:pPr>
      <w:r>
        <w:t>Withdrawal tracking system</w:t>
      </w:r>
    </w:p>
    <w:p w14:paraId="3E1723F5" w14:textId="77777777" w:rsidR="00E16059" w:rsidRDefault="00E16059" w:rsidP="00E16059">
      <w:pPr>
        <w:ind w:left="360"/>
      </w:pPr>
    </w:p>
    <w:p w14:paraId="412E02DA" w14:textId="1D304F39" w:rsidR="001B65F8" w:rsidRDefault="001B65F8" w:rsidP="001B65F8">
      <w:pPr>
        <w:ind w:left="720"/>
      </w:pPr>
    </w:p>
    <w:p w14:paraId="615BF201" w14:textId="77777777" w:rsidR="001B65F8" w:rsidRDefault="001B65F8" w:rsidP="001B65F8">
      <w:pPr>
        <w:ind w:left="720"/>
      </w:pPr>
    </w:p>
    <w:p w14:paraId="1D636813" w14:textId="77777777" w:rsidR="00176533" w:rsidRDefault="00BE591B">
      <w:pPr>
        <w:pStyle w:val="Title"/>
      </w:pPr>
      <w:bookmarkStart w:id="2" w:name="_tuy8bq1eytii" w:colFirst="0" w:colLast="0"/>
      <w:bookmarkEnd w:id="2"/>
      <w:r>
        <w:t>Requirements</w:t>
      </w:r>
    </w:p>
    <w:p w14:paraId="099C7281" w14:textId="77777777" w:rsidR="00176533" w:rsidRDefault="00BE591B">
      <w:r>
        <w:t>The contract should be able to:</w:t>
      </w:r>
    </w:p>
    <w:p w14:paraId="4FCFB214" w14:textId="01C649EA" w:rsidR="00176533" w:rsidRDefault="00176533" w:rsidP="001C2AC6"/>
    <w:p w14:paraId="6DEF9B01" w14:textId="79E99DEA" w:rsidR="00176533" w:rsidRDefault="00BE591B">
      <w:pPr>
        <w:numPr>
          <w:ilvl w:val="0"/>
          <w:numId w:val="6"/>
        </w:numPr>
      </w:pPr>
      <w:r>
        <w:t xml:space="preserve">Have a way to detect </w:t>
      </w:r>
      <w:r w:rsidR="00DF3F4C">
        <w:t>Moderator and beneficiary</w:t>
      </w:r>
    </w:p>
    <w:p w14:paraId="3F979BC9" w14:textId="38BC78A4" w:rsidR="001C2AC6" w:rsidRDefault="001C2AC6" w:rsidP="001C2AC6">
      <w:pPr>
        <w:numPr>
          <w:ilvl w:val="0"/>
          <w:numId w:val="6"/>
        </w:numPr>
      </w:pPr>
      <w:r>
        <w:t>Be able to map the beneficiary address to their balance</w:t>
      </w:r>
    </w:p>
    <w:p w14:paraId="09A3B3AF" w14:textId="0A0B067B" w:rsidR="00176533" w:rsidRDefault="001C2AC6" w:rsidP="001C2AC6">
      <w:pPr>
        <w:numPr>
          <w:ilvl w:val="0"/>
          <w:numId w:val="6"/>
        </w:numPr>
      </w:pPr>
      <w:r>
        <w:t>Have the ability to mint tokens(rights) to beneficiary</w:t>
      </w:r>
    </w:p>
    <w:p w14:paraId="146D079B" w14:textId="73484536" w:rsidR="001C2AC6" w:rsidRDefault="00BE591B" w:rsidP="001C2AC6">
      <w:pPr>
        <w:numPr>
          <w:ilvl w:val="0"/>
          <w:numId w:val="6"/>
        </w:numPr>
      </w:pPr>
      <w:r>
        <w:t xml:space="preserve">Have the ability to assign </w:t>
      </w:r>
      <w:r w:rsidR="00DF3F4C">
        <w:t>crowdfund state</w:t>
      </w:r>
      <w:r>
        <w:t xml:space="preserve"> as “</w:t>
      </w:r>
      <w:r w:rsidR="00DF3F4C">
        <w:t>Running</w:t>
      </w:r>
      <w:r>
        <w:t xml:space="preserve">, </w:t>
      </w:r>
      <w:r w:rsidR="00DF3F4C">
        <w:t>Success</w:t>
      </w:r>
      <w:r>
        <w:t xml:space="preserve">, </w:t>
      </w:r>
      <w:r w:rsidR="00DF3F4C">
        <w:t>Failed</w:t>
      </w:r>
      <w:r>
        <w:t xml:space="preserve">, </w:t>
      </w:r>
      <w:r w:rsidR="00DF3F4C">
        <w:t>Forwarded</w:t>
      </w:r>
      <w:r>
        <w:t>”</w:t>
      </w:r>
    </w:p>
    <w:p w14:paraId="3A73D85C" w14:textId="77777777" w:rsidR="00176533" w:rsidRDefault="00176533"/>
    <w:p w14:paraId="09400E87" w14:textId="77777777" w:rsidR="00176533" w:rsidRDefault="00BE591B">
      <w:pPr>
        <w:pStyle w:val="Title"/>
      </w:pPr>
      <w:bookmarkStart w:id="3" w:name="_k6vzwdi9wdy1" w:colFirst="0" w:colLast="0"/>
      <w:bookmarkEnd w:id="3"/>
      <w:r>
        <w:lastRenderedPageBreak/>
        <w:t>Specifications</w:t>
      </w:r>
    </w:p>
    <w:p w14:paraId="797A00FE" w14:textId="77777777" w:rsidR="00176533" w:rsidRDefault="00BE591B">
      <w:r>
        <w:t>The following specifications are desired in the smart contract</w:t>
      </w:r>
    </w:p>
    <w:p w14:paraId="58851A11" w14:textId="77777777" w:rsidR="00176533" w:rsidRDefault="00176533"/>
    <w:p w14:paraId="0545D984" w14:textId="77777777" w:rsidR="00176533" w:rsidRDefault="00BE591B">
      <w:pPr>
        <w:pStyle w:val="Subtitle"/>
      </w:pPr>
      <w:bookmarkStart w:id="4" w:name="_ozj1ts4w4x2i" w:colFirst="0" w:colLast="0"/>
      <w:bookmarkEnd w:id="4"/>
      <w:r>
        <w:t xml:space="preserve">Parent Contract (Inheritance) </w:t>
      </w:r>
    </w:p>
    <w:p w14:paraId="63B66089" w14:textId="77777777" w:rsidR="00176533" w:rsidRDefault="00BE591B">
      <w:r>
        <w:t xml:space="preserve">The contract requires some functions to be accessible only by the owner of the smart contract and thus it’s a requirement to inherit the </w:t>
      </w:r>
      <w:proofErr w:type="spellStart"/>
      <w:r>
        <w:rPr>
          <w:b/>
        </w:rPr>
        <w:t>Ownable.sol</w:t>
      </w:r>
      <w:proofErr w:type="spellEnd"/>
      <w:r>
        <w:rPr>
          <w:b/>
        </w:rPr>
        <w:t xml:space="preserve"> </w:t>
      </w:r>
      <w:r>
        <w:t xml:space="preserve">library of </w:t>
      </w:r>
      <w:proofErr w:type="spellStart"/>
      <w:r>
        <w:t>OpenZeppelin</w:t>
      </w:r>
      <w:proofErr w:type="spellEnd"/>
      <w:r>
        <w:t>.</w:t>
      </w:r>
    </w:p>
    <w:p w14:paraId="66A261D3" w14:textId="77777777" w:rsidR="00176533" w:rsidRDefault="005B620F">
      <w:hyperlink r:id="rId7">
        <w:r w:rsidR="00BE591B">
          <w:rPr>
            <w:color w:val="1155CC"/>
            <w:u w:val="single"/>
          </w:rPr>
          <w:t>https://github.com/OpenZeppelin/openzeppelin-contracts/blob/master/contracts/ownership/Ownable.sol</w:t>
        </w:r>
      </w:hyperlink>
    </w:p>
    <w:p w14:paraId="7E8FD7BB" w14:textId="77777777" w:rsidR="00176533" w:rsidRDefault="00176533"/>
    <w:p w14:paraId="6F541957" w14:textId="77777777" w:rsidR="00176533" w:rsidRDefault="00BE591B">
      <w:r>
        <w:rPr>
          <w:b/>
        </w:rPr>
        <w:t>Note:</w:t>
      </w:r>
      <w:r>
        <w:t xml:space="preserve"> Ensure that the inheritance of </w:t>
      </w:r>
      <w:proofErr w:type="spellStart"/>
      <w:r>
        <w:t>openZepplin</w:t>
      </w:r>
      <w:proofErr w:type="spellEnd"/>
      <w:r>
        <w:t xml:space="preserve"> contract is also accounted for</w:t>
      </w:r>
    </w:p>
    <w:p w14:paraId="085D1AEA" w14:textId="77777777" w:rsidR="00176533" w:rsidRDefault="00176533"/>
    <w:p w14:paraId="76DE43AB" w14:textId="77777777" w:rsidR="00176533" w:rsidRDefault="00BE591B">
      <w:pPr>
        <w:pStyle w:val="Subtitle"/>
      </w:pPr>
      <w:bookmarkStart w:id="5" w:name="_uzos7ce54sze" w:colFirst="0" w:colLast="0"/>
      <w:bookmarkEnd w:id="5"/>
      <w:r>
        <w:t>Library Functions</w:t>
      </w:r>
    </w:p>
    <w:p w14:paraId="47D6EDF5" w14:textId="77777777" w:rsidR="00176533" w:rsidRDefault="00BE591B">
      <w:r>
        <w:t xml:space="preserve">The contract uses additions and subtractions in various functions, thus, it’s also a requirement to import and use the </w:t>
      </w:r>
      <w:proofErr w:type="spellStart"/>
      <w:r>
        <w:rPr>
          <w:b/>
        </w:rPr>
        <w:t>SafeMath</w:t>
      </w:r>
      <w:proofErr w:type="spellEnd"/>
      <w:r>
        <w:rPr>
          <w:b/>
        </w:rPr>
        <w:t xml:space="preserve"> </w:t>
      </w:r>
      <w:r>
        <w:t xml:space="preserve">library of </w:t>
      </w:r>
      <w:proofErr w:type="spellStart"/>
      <w:r>
        <w:t>OpenZeppelin</w:t>
      </w:r>
      <w:proofErr w:type="spellEnd"/>
      <w:r>
        <w:t xml:space="preserve">. </w:t>
      </w:r>
    </w:p>
    <w:p w14:paraId="1B73AD24" w14:textId="77777777" w:rsidR="00176533" w:rsidRDefault="005B620F">
      <w:hyperlink r:id="rId8">
        <w:r w:rsidR="00BE591B">
          <w:rPr>
            <w:color w:val="1155CC"/>
            <w:u w:val="single"/>
          </w:rPr>
          <w:t>https://github.com/OpenZeppelin/openzeppelin-contracts/blob/master/contracts/math/SafeMath.sol</w:t>
        </w:r>
      </w:hyperlink>
    </w:p>
    <w:p w14:paraId="3FC60F73" w14:textId="77777777" w:rsidR="00176533" w:rsidRDefault="00176533"/>
    <w:p w14:paraId="2C4B92A9" w14:textId="77777777" w:rsidR="00176533" w:rsidRDefault="00BE591B">
      <w:r>
        <w:rPr>
          <w:b/>
        </w:rPr>
        <w:t xml:space="preserve">Note: </w:t>
      </w:r>
      <w:r>
        <w:t xml:space="preserve">The </w:t>
      </w:r>
      <w:proofErr w:type="spellStart"/>
      <w:r>
        <w:t>SafeMath</w:t>
      </w:r>
      <w:proofErr w:type="spellEnd"/>
      <w:r>
        <w:t xml:space="preserve"> library provided only deals with uint256 functions. You are also required to create a </w:t>
      </w:r>
      <w:proofErr w:type="spellStart"/>
      <w:r>
        <w:t>SafeMath</w:t>
      </w:r>
      <w:proofErr w:type="spellEnd"/>
      <w:r>
        <w:t xml:space="preserve"> library for uint16 functions as the contract requires addition and subtraction functionality for that variable as well. </w:t>
      </w:r>
    </w:p>
    <w:p w14:paraId="6A4615BD" w14:textId="77777777" w:rsidR="00176533" w:rsidRDefault="00176533"/>
    <w:p w14:paraId="1DBCE448" w14:textId="77777777" w:rsidR="00176533" w:rsidRDefault="00BE591B">
      <w:r>
        <w:t xml:space="preserve">Recommended to create a </w:t>
      </w:r>
      <w:r>
        <w:rPr>
          <w:b/>
        </w:rPr>
        <w:t xml:space="preserve">SafeMath16 </w:t>
      </w:r>
      <w:r>
        <w:t xml:space="preserve">library out of the provided </w:t>
      </w:r>
      <w:proofErr w:type="spellStart"/>
      <w:r>
        <w:t>openZeppelin</w:t>
      </w:r>
      <w:proofErr w:type="spellEnd"/>
      <w:r>
        <w:t xml:space="preserve"> link and import that in the contract as well</w:t>
      </w:r>
    </w:p>
    <w:p w14:paraId="728E51DB" w14:textId="36942CDE" w:rsidR="00176533" w:rsidRDefault="00176533"/>
    <w:p w14:paraId="15C5B5D5" w14:textId="5CDD5D75" w:rsidR="007C30C6" w:rsidRPr="007C30C6" w:rsidRDefault="001C2AC6">
      <w:pPr>
        <w:rPr>
          <w:b/>
          <w:bCs/>
        </w:rPr>
      </w:pPr>
      <w:r w:rsidRPr="007C30C6">
        <w:rPr>
          <w:b/>
          <w:bCs/>
        </w:rPr>
        <w:t>For minting tokens:</w:t>
      </w:r>
    </w:p>
    <w:p w14:paraId="6AC66614" w14:textId="0383718B" w:rsidR="007C30C6" w:rsidRDefault="007C30C6" w:rsidP="007C30C6">
      <w:r>
        <w:t>"openzeppelin-solidity/contracts/token/ERC20/DetailedERC20.sol"</w:t>
      </w:r>
    </w:p>
    <w:p w14:paraId="5846F08B" w14:textId="67E5A69D" w:rsidR="007C30C6" w:rsidRDefault="007C30C6" w:rsidP="007C30C6">
      <w:r>
        <w:t>"openzeppelin-solidity/contracts/token/ERC20/StandardToken.sol"</w:t>
      </w:r>
    </w:p>
    <w:p w14:paraId="3F9FC747" w14:textId="64A79186" w:rsidR="001C2AC6" w:rsidRDefault="007C30C6" w:rsidP="007C30C6">
      <w:r>
        <w:t>"</w:t>
      </w:r>
      <w:proofErr w:type="spellStart"/>
      <w:r>
        <w:t>openzeppelin</w:t>
      </w:r>
      <w:proofErr w:type="spellEnd"/>
      <w:r>
        <w:t>-solidity/contracts/token/ERC20/</w:t>
      </w:r>
      <w:proofErr w:type="spellStart"/>
      <w:r>
        <w:t>MintableToken.sol</w:t>
      </w:r>
      <w:proofErr w:type="spellEnd"/>
      <w:r>
        <w:t>"</w:t>
      </w:r>
    </w:p>
    <w:p w14:paraId="0B86AC15" w14:textId="48845268" w:rsidR="007C30C6" w:rsidRDefault="007C30C6" w:rsidP="007C30C6"/>
    <w:p w14:paraId="175A4324" w14:textId="77777777" w:rsidR="007C30C6" w:rsidRDefault="007C30C6" w:rsidP="007C30C6"/>
    <w:p w14:paraId="58E72522" w14:textId="77777777" w:rsidR="00176533" w:rsidRDefault="00BE591B">
      <w:pPr>
        <w:pStyle w:val="Subtitle"/>
      </w:pPr>
      <w:bookmarkStart w:id="6" w:name="_4pf5lgqadcd5" w:colFirst="0" w:colLast="0"/>
      <w:bookmarkEnd w:id="6"/>
      <w:r>
        <w:t>Enums</w:t>
      </w:r>
    </w:p>
    <w:p w14:paraId="36887CD1" w14:textId="77777777" w:rsidR="00176533" w:rsidRDefault="00BE591B">
      <w:r>
        <w:t xml:space="preserve">The following </w:t>
      </w:r>
      <w:proofErr w:type="spellStart"/>
      <w:r>
        <w:t>enums</w:t>
      </w:r>
      <w:proofErr w:type="spellEnd"/>
      <w:r>
        <w:t xml:space="preserve"> are required:</w:t>
      </w:r>
    </w:p>
    <w:p w14:paraId="2D29343F" w14:textId="77777777" w:rsidR="00176533" w:rsidRDefault="00176533"/>
    <w:tbl>
      <w:tblPr>
        <w:tblStyle w:val="a"/>
        <w:tblW w:w="9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4"/>
        <w:gridCol w:w="6175"/>
      </w:tblGrid>
      <w:tr w:rsidR="00176533" w14:paraId="7715B8E5" w14:textId="77777777" w:rsidTr="007C30C6">
        <w:trPr>
          <w:trHeight w:val="276"/>
        </w:trPr>
        <w:tc>
          <w:tcPr>
            <w:tcW w:w="343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11F5" w14:textId="77777777" w:rsidR="00176533" w:rsidRDefault="00BE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Name</w:t>
            </w:r>
          </w:p>
        </w:tc>
        <w:tc>
          <w:tcPr>
            <w:tcW w:w="617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98E7" w14:textId="77777777" w:rsidR="00176533" w:rsidRDefault="00BE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Values</w:t>
            </w:r>
          </w:p>
        </w:tc>
      </w:tr>
      <w:tr w:rsidR="00176533" w14:paraId="222D7321" w14:textId="77777777" w:rsidTr="007C30C6">
        <w:trPr>
          <w:trHeight w:val="286"/>
        </w:trPr>
        <w:tc>
          <w:tcPr>
            <w:tcW w:w="34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2760" w14:textId="69304997" w:rsidR="00176533" w:rsidRDefault="007C30C6">
            <w:pPr>
              <w:widowControl w:val="0"/>
              <w:spacing w:line="240" w:lineRule="auto"/>
            </w:pPr>
            <w:proofErr w:type="spellStart"/>
            <w:r>
              <w:t>CrowdsaleState</w:t>
            </w:r>
            <w:proofErr w:type="spellEnd"/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3CDB" w14:textId="76B619B8" w:rsidR="00176533" w:rsidRDefault="007C3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Running, Success, Failed, Forwarded</w:t>
            </w:r>
          </w:p>
        </w:tc>
      </w:tr>
    </w:tbl>
    <w:p w14:paraId="086CDEF1" w14:textId="77777777" w:rsidR="00176533" w:rsidRDefault="00176533"/>
    <w:p w14:paraId="66B824A7" w14:textId="77777777" w:rsidR="00176533" w:rsidRDefault="00176533">
      <w:bookmarkStart w:id="7" w:name="_96ip8f2eqz4o" w:colFirst="0" w:colLast="0"/>
      <w:bookmarkEnd w:id="7"/>
    </w:p>
    <w:p w14:paraId="41630BBC" w14:textId="77777777" w:rsidR="00176533" w:rsidRDefault="00BE591B">
      <w:pPr>
        <w:pStyle w:val="Subtitle"/>
      </w:pPr>
      <w:bookmarkStart w:id="8" w:name="_i1g8o5wpj7r1" w:colFirst="0" w:colLast="0"/>
      <w:bookmarkEnd w:id="8"/>
      <w:r>
        <w:t>Variables</w:t>
      </w:r>
    </w:p>
    <w:p w14:paraId="0FC608D0" w14:textId="77777777" w:rsidR="00176533" w:rsidRDefault="00BE591B">
      <w:r>
        <w:t>The following variables are recommended to be used:</w:t>
      </w:r>
    </w:p>
    <w:p w14:paraId="3B4CBB0D" w14:textId="77777777" w:rsidR="00176533" w:rsidRDefault="00176533"/>
    <w:p w14:paraId="09B0B100" w14:textId="77777777" w:rsidR="00176533" w:rsidRDefault="00176533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6015"/>
      </w:tblGrid>
      <w:tr w:rsidR="00176533" w14:paraId="1FD138D3" w14:textId="77777777">
        <w:tc>
          <w:tcPr>
            <w:tcW w:w="33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0738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60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CE5A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Type</w:t>
            </w:r>
          </w:p>
        </w:tc>
      </w:tr>
      <w:tr w:rsidR="00176533" w14:paraId="32FB1244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C04F" w14:textId="1B39E00C" w:rsidR="00176533" w:rsidRDefault="00A705D1">
            <w:pPr>
              <w:widowControl w:val="0"/>
              <w:spacing w:line="240" w:lineRule="auto"/>
            </w:pPr>
            <w:proofErr w:type="spellStart"/>
            <w:r w:rsidRPr="00A705D1">
              <w:t>crowdsaleBeneficiar</w:t>
            </w:r>
            <w:r>
              <w:t>y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FC88" w14:textId="0BF4367C" w:rsidR="00176533" w:rsidRDefault="00CC292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</w:t>
            </w:r>
            <w:r w:rsidR="00A705D1">
              <w:rPr>
                <w:i/>
              </w:rPr>
              <w:t>ddress</w:t>
            </w:r>
          </w:p>
          <w:p w14:paraId="0C22ED6C" w14:textId="4DB361FE" w:rsidR="00CC2924" w:rsidRPr="00A705D1" w:rsidRDefault="00CC2924">
            <w:pPr>
              <w:widowControl w:val="0"/>
              <w:spacing w:line="240" w:lineRule="auto"/>
              <w:rPr>
                <w:i/>
              </w:rPr>
            </w:pPr>
            <w:r w:rsidRPr="00CC2924">
              <w:rPr>
                <w:i/>
              </w:rPr>
              <w:t xml:space="preserve">The beneficiary of </w:t>
            </w:r>
            <w:proofErr w:type="spellStart"/>
            <w:r w:rsidRPr="00CC2924">
              <w:rPr>
                <w:i/>
              </w:rPr>
              <w:t>crowdsale</w:t>
            </w:r>
            <w:proofErr w:type="spellEnd"/>
          </w:p>
        </w:tc>
      </w:tr>
      <w:tr w:rsidR="00176533" w14:paraId="675F4259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7FDC" w14:textId="270BDD64" w:rsidR="00176533" w:rsidRDefault="00A705D1">
            <w:pPr>
              <w:widowControl w:val="0"/>
              <w:spacing w:line="240" w:lineRule="auto"/>
            </w:pPr>
            <w:proofErr w:type="spellStart"/>
            <w:r w:rsidRPr="00A705D1">
              <w:t>crowdsaleModerator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0DDD" w14:textId="329879D1" w:rsidR="00A705D1" w:rsidRDefault="00A705D1" w:rsidP="00A705D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i/>
              </w:rPr>
              <w:t>address</w:t>
            </w:r>
          </w:p>
          <w:p w14:paraId="4976A330" w14:textId="11406B5E" w:rsidR="00176533" w:rsidRDefault="00CC29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C2924">
              <w:rPr>
                <w:sz w:val="16"/>
                <w:szCs w:val="16"/>
              </w:rPr>
              <w:t xml:space="preserve">The moderator of </w:t>
            </w:r>
            <w:proofErr w:type="spellStart"/>
            <w:r w:rsidRPr="00CC2924">
              <w:rPr>
                <w:sz w:val="16"/>
                <w:szCs w:val="16"/>
              </w:rPr>
              <w:t>crowdsale</w:t>
            </w:r>
            <w:proofErr w:type="spellEnd"/>
          </w:p>
        </w:tc>
      </w:tr>
      <w:tr w:rsidR="00176533" w14:paraId="73C4D307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4F56" w14:textId="3757BBB0" w:rsidR="00176533" w:rsidRDefault="00A705D1">
            <w:pPr>
              <w:widowControl w:val="0"/>
              <w:spacing w:line="240" w:lineRule="auto"/>
            </w:pPr>
            <w:proofErr w:type="spellStart"/>
            <w:r w:rsidRPr="00A705D1">
              <w:t>fundingGoal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6B83" w14:textId="0FBF63B6" w:rsidR="00176533" w:rsidRDefault="00CC2924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uint</w:t>
            </w:r>
            <w:proofErr w:type="spellEnd"/>
          </w:p>
          <w:p w14:paraId="3EA24F31" w14:textId="6E97484A" w:rsidR="00176533" w:rsidRDefault="00CC2924">
            <w:pPr>
              <w:widowControl w:val="0"/>
              <w:spacing w:line="240" w:lineRule="auto"/>
              <w:rPr>
                <w:i/>
                <w:sz w:val="16"/>
                <w:szCs w:val="16"/>
              </w:rPr>
            </w:pPr>
            <w:r w:rsidRPr="00CC2924">
              <w:rPr>
                <w:i/>
                <w:sz w:val="16"/>
                <w:szCs w:val="16"/>
              </w:rPr>
              <w:t xml:space="preserve">The target amount of </w:t>
            </w:r>
            <w:proofErr w:type="spellStart"/>
            <w:r w:rsidRPr="00CC2924">
              <w:rPr>
                <w:i/>
                <w:sz w:val="16"/>
                <w:szCs w:val="16"/>
              </w:rPr>
              <w:t>ETh</w:t>
            </w:r>
            <w:proofErr w:type="spellEnd"/>
            <w:r w:rsidRPr="00CC2924">
              <w:rPr>
                <w:i/>
                <w:sz w:val="16"/>
                <w:szCs w:val="16"/>
              </w:rPr>
              <w:t xml:space="preserve"> for the </w:t>
            </w:r>
            <w:proofErr w:type="spellStart"/>
            <w:r w:rsidRPr="00CC2924">
              <w:rPr>
                <w:i/>
                <w:sz w:val="16"/>
                <w:szCs w:val="16"/>
              </w:rPr>
              <w:t>crowdsal</w:t>
            </w:r>
            <w:r>
              <w:rPr>
                <w:i/>
                <w:sz w:val="16"/>
                <w:szCs w:val="16"/>
              </w:rPr>
              <w:t>e</w:t>
            </w:r>
            <w:proofErr w:type="spellEnd"/>
          </w:p>
        </w:tc>
      </w:tr>
      <w:tr w:rsidR="00176533" w14:paraId="7B31AAC3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B7A4" w14:textId="77C85AAC" w:rsidR="00176533" w:rsidRDefault="00A705D1">
            <w:pPr>
              <w:widowControl w:val="0"/>
              <w:spacing w:line="240" w:lineRule="auto"/>
            </w:pPr>
            <w:proofErr w:type="spellStart"/>
            <w:r w:rsidRPr="00A705D1">
              <w:t>fundingCap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F169" w14:textId="76194BE4" w:rsidR="00176533" w:rsidRDefault="00CC2924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uint</w:t>
            </w:r>
            <w:proofErr w:type="spellEnd"/>
          </w:p>
          <w:p w14:paraId="07C71307" w14:textId="2A648D8E" w:rsidR="00176533" w:rsidRDefault="00CC29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C2924">
              <w:rPr>
                <w:sz w:val="16"/>
                <w:szCs w:val="16"/>
              </w:rPr>
              <w:t xml:space="preserve">The maximum amount of </w:t>
            </w:r>
            <w:proofErr w:type="spellStart"/>
            <w:r w:rsidRPr="00CC2924">
              <w:rPr>
                <w:sz w:val="16"/>
                <w:szCs w:val="16"/>
              </w:rPr>
              <w:t>ETh</w:t>
            </w:r>
            <w:proofErr w:type="spellEnd"/>
            <w:r w:rsidRPr="00CC2924">
              <w:rPr>
                <w:sz w:val="16"/>
                <w:szCs w:val="16"/>
              </w:rPr>
              <w:t xml:space="preserve"> for the </w:t>
            </w:r>
            <w:proofErr w:type="spellStart"/>
            <w:r w:rsidRPr="00CC2924">
              <w:rPr>
                <w:sz w:val="16"/>
                <w:szCs w:val="16"/>
              </w:rPr>
              <w:t>crowdsale</w:t>
            </w:r>
            <w:proofErr w:type="spellEnd"/>
          </w:p>
        </w:tc>
      </w:tr>
      <w:tr w:rsidR="00176533" w14:paraId="549ABD61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F606" w14:textId="265B3BF1" w:rsidR="00176533" w:rsidRDefault="00A705D1">
            <w:pPr>
              <w:widowControl w:val="0"/>
              <w:spacing w:line="240" w:lineRule="auto"/>
            </w:pPr>
            <w:r w:rsidRPr="00A705D1">
              <w:t>duration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0F54" w14:textId="10AD60B2" w:rsidR="00176533" w:rsidRDefault="00CC2924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uint</w:t>
            </w:r>
            <w:proofErr w:type="spellEnd"/>
          </w:p>
          <w:p w14:paraId="12A810D7" w14:textId="475B6564" w:rsidR="00176533" w:rsidRDefault="00CC29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C2924">
              <w:rPr>
                <w:sz w:val="16"/>
                <w:szCs w:val="16"/>
              </w:rPr>
              <w:t xml:space="preserve">Maximum duration of the </w:t>
            </w:r>
            <w:proofErr w:type="spellStart"/>
            <w:r w:rsidRPr="00CC2924">
              <w:rPr>
                <w:sz w:val="16"/>
                <w:szCs w:val="16"/>
              </w:rPr>
              <w:t>crowdsale</w:t>
            </w:r>
            <w:proofErr w:type="spellEnd"/>
          </w:p>
        </w:tc>
      </w:tr>
      <w:tr w:rsidR="00176533" w14:paraId="48549733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11B2" w14:textId="215BE9FA" w:rsidR="00176533" w:rsidRDefault="00A705D1">
            <w:pPr>
              <w:widowControl w:val="0"/>
              <w:spacing w:line="240" w:lineRule="auto"/>
            </w:pPr>
            <w:proofErr w:type="spellStart"/>
            <w:r w:rsidRPr="00A705D1">
              <w:t>tokenPriceNumerato</w:t>
            </w:r>
            <w:r>
              <w:t>r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C33D" w14:textId="6BC900F5" w:rsidR="00176533" w:rsidRDefault="00CC2924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uint</w:t>
            </w:r>
            <w:proofErr w:type="spellEnd"/>
          </w:p>
          <w:p w14:paraId="46B5D260" w14:textId="49A2DB82" w:rsidR="00176533" w:rsidRDefault="00CC29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C2924">
              <w:rPr>
                <w:sz w:val="16"/>
                <w:szCs w:val="16"/>
              </w:rPr>
              <w:t xml:space="preserve">Numerator of the token </w:t>
            </w:r>
            <w:proofErr w:type="gramStart"/>
            <w:r w:rsidRPr="00CC2924">
              <w:rPr>
                <w:sz w:val="16"/>
                <w:szCs w:val="16"/>
              </w:rPr>
              <w:t>price</w:t>
            </w:r>
            <w:r>
              <w:rPr>
                <w:sz w:val="16"/>
                <w:szCs w:val="16"/>
              </w:rPr>
              <w:t xml:space="preserve">  Example</w:t>
            </w:r>
            <w:proofErr w:type="gramEnd"/>
            <w:r>
              <w:rPr>
                <w:sz w:val="16"/>
                <w:szCs w:val="16"/>
              </w:rPr>
              <w:t xml:space="preserve">: </w:t>
            </w:r>
            <w:r w:rsidRPr="00CC2924">
              <w:rPr>
                <w:sz w:val="16"/>
                <w:szCs w:val="16"/>
              </w:rPr>
              <w:t xml:space="preserve">If </w:t>
            </w:r>
            <w:r>
              <w:rPr>
                <w:sz w:val="16"/>
                <w:szCs w:val="16"/>
              </w:rPr>
              <w:t xml:space="preserve">I </w:t>
            </w:r>
            <w:r w:rsidRPr="00CC2924">
              <w:rPr>
                <w:sz w:val="16"/>
                <w:szCs w:val="16"/>
              </w:rPr>
              <w:t xml:space="preserve">want to give </w:t>
            </w:r>
            <w:r>
              <w:rPr>
                <w:sz w:val="16"/>
                <w:szCs w:val="16"/>
              </w:rPr>
              <w:t>10</w:t>
            </w:r>
            <w:r w:rsidRPr="00CC2924">
              <w:rPr>
                <w:sz w:val="16"/>
                <w:szCs w:val="16"/>
              </w:rPr>
              <w:t xml:space="preserve"> tokens for 1 ETH - numerator </w:t>
            </w:r>
            <w:r>
              <w:rPr>
                <w:sz w:val="16"/>
                <w:szCs w:val="16"/>
              </w:rPr>
              <w:t>10</w:t>
            </w:r>
            <w:r w:rsidRPr="00CC2924">
              <w:rPr>
                <w:sz w:val="16"/>
                <w:szCs w:val="16"/>
              </w:rPr>
              <w:t>, denominator 1</w:t>
            </w:r>
          </w:p>
        </w:tc>
      </w:tr>
      <w:tr w:rsidR="00176533" w14:paraId="3C25E027" w14:textId="77777777" w:rsidTr="00CC2924">
        <w:trPr>
          <w:trHeight w:val="753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4FB3" w14:textId="62F61664" w:rsidR="00176533" w:rsidRDefault="00A705D1">
            <w:pPr>
              <w:widowControl w:val="0"/>
              <w:spacing w:line="240" w:lineRule="auto"/>
            </w:pPr>
            <w:proofErr w:type="spellStart"/>
            <w:r w:rsidRPr="00A705D1">
              <w:t>tokenPrice</w:t>
            </w:r>
            <w:r>
              <w:t>Denomina</w:t>
            </w:r>
            <w:r w:rsidRPr="00A705D1">
              <w:t>to</w:t>
            </w:r>
            <w:r>
              <w:t>r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6D80" w14:textId="5FE4A0E9" w:rsidR="00176533" w:rsidRDefault="00CC2924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uint</w:t>
            </w:r>
            <w:proofErr w:type="spellEnd"/>
          </w:p>
          <w:p w14:paraId="3B7CC1DC" w14:textId="55D589B4" w:rsidR="00176533" w:rsidRDefault="00CC29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CC2924">
              <w:rPr>
                <w:sz w:val="16"/>
                <w:szCs w:val="16"/>
              </w:rPr>
              <w:t>Denominator of the token pric</w:t>
            </w:r>
            <w:r>
              <w:rPr>
                <w:sz w:val="16"/>
                <w:szCs w:val="16"/>
              </w:rPr>
              <w:t>e</w:t>
            </w:r>
          </w:p>
        </w:tc>
      </w:tr>
      <w:tr w:rsidR="00A705D1" w14:paraId="66F81659" w14:textId="77777777" w:rsidTr="00A705D1">
        <w:trPr>
          <w:trHeight w:val="1356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2072" w14:textId="7080C2F2" w:rsidR="00A705D1" w:rsidRPr="00A705D1" w:rsidRDefault="00A705D1">
            <w:pPr>
              <w:widowControl w:val="0"/>
              <w:spacing w:line="240" w:lineRule="auto"/>
            </w:pPr>
            <w:proofErr w:type="spellStart"/>
            <w:r>
              <w:t>tokenRewardAddress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06F" w14:textId="70407AFF" w:rsidR="00CC2924" w:rsidRDefault="00CC2924" w:rsidP="00CC292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Address</w:t>
            </w:r>
          </w:p>
          <w:p w14:paraId="58C05E8C" w14:textId="0E4B0D0E" w:rsidR="00CC2924" w:rsidRPr="00CC2924" w:rsidRDefault="00CC2924" w:rsidP="00CC2924">
            <w:r w:rsidRPr="00CC2924">
              <w:t>Token used for rewar</w:t>
            </w:r>
            <w:r>
              <w:t>d</w:t>
            </w:r>
          </w:p>
        </w:tc>
      </w:tr>
    </w:tbl>
    <w:p w14:paraId="1414F9BC" w14:textId="77777777" w:rsidR="00176533" w:rsidRDefault="00176533"/>
    <w:p w14:paraId="110B25DF" w14:textId="77163E1A" w:rsidR="00176533" w:rsidRDefault="00BE591B" w:rsidP="00A705D1">
      <w:pPr>
        <w:pStyle w:val="Subtitle"/>
      </w:pPr>
      <w:bookmarkStart w:id="9" w:name="_tt1u6tb1k0es" w:colFirst="0" w:colLast="0"/>
      <w:bookmarkEnd w:id="9"/>
      <w:r>
        <w:t>Events</w:t>
      </w:r>
    </w:p>
    <w:p w14:paraId="73B8A3F1" w14:textId="77777777" w:rsidR="00176533" w:rsidRDefault="00176533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415"/>
      </w:tblGrid>
      <w:tr w:rsidR="00176533" w14:paraId="6D4D1844" w14:textId="77777777">
        <w:tc>
          <w:tcPr>
            <w:tcW w:w="39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3CC8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Events</w:t>
            </w:r>
          </w:p>
        </w:tc>
        <w:tc>
          <w:tcPr>
            <w:tcW w:w="54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6B3F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176533" w14:paraId="5D243CDC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D460" w14:textId="7F5E9BF8" w:rsidR="00176533" w:rsidRDefault="00855236">
            <w:pPr>
              <w:widowControl w:val="0"/>
              <w:spacing w:line="240" w:lineRule="auto"/>
            </w:pPr>
            <w:proofErr w:type="spellStart"/>
            <w:r>
              <w:t>FundsRecieved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4178" w14:textId="26DC7156" w:rsidR="00176533" w:rsidRDefault="00EA758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funds </w:t>
            </w:r>
            <w:proofErr w:type="spellStart"/>
            <w:r>
              <w:rPr>
                <w:sz w:val="16"/>
                <w:szCs w:val="16"/>
              </w:rPr>
              <w:t>recieved</w:t>
            </w:r>
            <w:proofErr w:type="spellEnd"/>
          </w:p>
        </w:tc>
      </w:tr>
      <w:tr w:rsidR="00176533" w14:paraId="70A32ECA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9A77" w14:textId="71E4FF39" w:rsidR="00176533" w:rsidRDefault="00855236">
            <w:pPr>
              <w:widowControl w:val="0"/>
              <w:spacing w:line="240" w:lineRule="auto"/>
            </w:pPr>
            <w:proofErr w:type="spellStart"/>
            <w:r>
              <w:t>FundsWithdr</w:t>
            </w:r>
            <w:r w:rsidR="00A705D1">
              <w:t>a</w:t>
            </w:r>
            <w:r>
              <w:t>w</w:t>
            </w:r>
            <w:r w:rsidR="00A705D1">
              <w:t>n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9933" w14:textId="5D4E5008" w:rsidR="00176533" w:rsidRDefault="00EA758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Log funds </w:t>
            </w:r>
            <w:proofErr w:type="spellStart"/>
            <w:r>
              <w:rPr>
                <w:i/>
              </w:rPr>
              <w:t>withrawn</w:t>
            </w:r>
            <w:proofErr w:type="spellEnd"/>
          </w:p>
        </w:tc>
      </w:tr>
      <w:tr w:rsidR="00176533" w14:paraId="745C0068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DF90" w14:textId="5F42121B" w:rsidR="00176533" w:rsidRDefault="00855236">
            <w:pPr>
              <w:widowControl w:val="0"/>
              <w:spacing w:line="240" w:lineRule="auto"/>
            </w:pPr>
            <w:proofErr w:type="spellStart"/>
            <w:r>
              <w:t>CrowdfundSuccessful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6B9C" w14:textId="7CB2025C" w:rsidR="00176533" w:rsidRDefault="00EA758B">
            <w:pPr>
              <w:widowControl w:val="0"/>
              <w:spacing w:line="240" w:lineRule="auto"/>
            </w:pPr>
            <w:r>
              <w:t>Log that the crowdfund was successful</w:t>
            </w:r>
          </w:p>
        </w:tc>
      </w:tr>
      <w:tr w:rsidR="00176533" w14:paraId="18E64992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9397" w14:textId="7545E2F1" w:rsidR="00176533" w:rsidRDefault="00855236">
            <w:pPr>
              <w:widowControl w:val="0"/>
              <w:spacing w:line="240" w:lineRule="auto"/>
            </w:pPr>
            <w:proofErr w:type="spellStart"/>
            <w:r w:rsidRPr="00855236">
              <w:t>CrowdsaleFundsForwarde</w:t>
            </w:r>
            <w:r>
              <w:t>d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6D13" w14:textId="6E806856" w:rsidR="00176533" w:rsidRDefault="00935B12">
            <w:pPr>
              <w:widowControl w:val="0"/>
              <w:spacing w:line="240" w:lineRule="auto"/>
            </w:pPr>
            <w:r>
              <w:t xml:space="preserve">Log the </w:t>
            </w:r>
            <w:proofErr w:type="spellStart"/>
            <w:r>
              <w:t>crowdsale</w:t>
            </w:r>
            <w:proofErr w:type="spellEnd"/>
            <w:r>
              <w:t xml:space="preserve"> funds </w:t>
            </w:r>
            <w:proofErr w:type="spellStart"/>
            <w:r>
              <w:t>fowarded</w:t>
            </w:r>
            <w:proofErr w:type="spellEnd"/>
            <w:r>
              <w:t xml:space="preserve"> to the DAO</w:t>
            </w:r>
          </w:p>
        </w:tc>
      </w:tr>
    </w:tbl>
    <w:p w14:paraId="329901D6" w14:textId="77777777" w:rsidR="00176533" w:rsidRDefault="00BE591B">
      <w:pPr>
        <w:widowControl w:val="0"/>
        <w:spacing w:line="240" w:lineRule="auto"/>
      </w:pPr>
      <w:r>
        <w:t xml:space="preserve"> </w:t>
      </w:r>
    </w:p>
    <w:p w14:paraId="32E8443D" w14:textId="77777777" w:rsidR="00176533" w:rsidRDefault="00BE591B">
      <w:pPr>
        <w:pStyle w:val="Subtitle"/>
      </w:pPr>
      <w:bookmarkStart w:id="10" w:name="_y20ff3wh629c" w:colFirst="0" w:colLast="0"/>
      <w:bookmarkEnd w:id="10"/>
      <w:r>
        <w:t>Modifiers</w:t>
      </w:r>
    </w:p>
    <w:p w14:paraId="138E954E" w14:textId="77777777" w:rsidR="00176533" w:rsidRDefault="00BE591B">
      <w:r>
        <w:t>The following modifiers is recommended to ensure proper restrictions on the smart contract functions:</w:t>
      </w:r>
    </w:p>
    <w:p w14:paraId="60028D34" w14:textId="77777777" w:rsidR="00176533" w:rsidRDefault="00176533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415"/>
      </w:tblGrid>
      <w:tr w:rsidR="00176533" w14:paraId="56CF6A5F" w14:textId="77777777">
        <w:tc>
          <w:tcPr>
            <w:tcW w:w="394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E2C0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Modifiers</w:t>
            </w:r>
          </w:p>
        </w:tc>
        <w:tc>
          <w:tcPr>
            <w:tcW w:w="54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B7F0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176533" w14:paraId="311F1202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A5D6" w14:textId="21D75082" w:rsidR="00176533" w:rsidRDefault="00BE591B">
            <w:pPr>
              <w:widowControl w:val="0"/>
              <w:spacing w:line="240" w:lineRule="auto"/>
            </w:pPr>
            <w:proofErr w:type="spellStart"/>
            <w:r>
              <w:t>only</w:t>
            </w:r>
            <w:r w:rsidR="00EA758B">
              <w:t>CrowdSaleModerator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EF16" w14:textId="38AE8401" w:rsidR="00176533" w:rsidRDefault="00935B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935B12">
              <w:rPr>
                <w:sz w:val="16"/>
                <w:szCs w:val="16"/>
              </w:rPr>
              <w:t xml:space="preserve">Throws </w:t>
            </w:r>
            <w:r>
              <w:rPr>
                <w:sz w:val="16"/>
                <w:szCs w:val="16"/>
              </w:rPr>
              <w:t xml:space="preserve">error </w:t>
            </w:r>
            <w:r w:rsidRPr="00935B12">
              <w:rPr>
                <w:sz w:val="16"/>
                <w:szCs w:val="16"/>
              </w:rPr>
              <w:t xml:space="preserve">if funding goal </w:t>
            </w:r>
            <w:r>
              <w:rPr>
                <w:sz w:val="16"/>
                <w:szCs w:val="16"/>
              </w:rPr>
              <w:t xml:space="preserve">is </w:t>
            </w:r>
            <w:r w:rsidRPr="00935B12">
              <w:rPr>
                <w:sz w:val="16"/>
                <w:szCs w:val="16"/>
              </w:rPr>
              <w:t>not reache</w:t>
            </w:r>
            <w:r w:rsidR="0080088E">
              <w:rPr>
                <w:sz w:val="16"/>
                <w:szCs w:val="16"/>
              </w:rPr>
              <w:t>d</w:t>
            </w:r>
          </w:p>
        </w:tc>
      </w:tr>
      <w:tr w:rsidR="00176533" w14:paraId="51C28EC2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A99A" w14:textId="42B1F93C" w:rsidR="00176533" w:rsidRDefault="00EA758B">
            <w:pPr>
              <w:widowControl w:val="0"/>
              <w:spacing w:line="240" w:lineRule="auto"/>
            </w:pPr>
            <w:proofErr w:type="spellStart"/>
            <w:r w:rsidRPr="00EA758B">
              <w:t>onlyRunningCrowdsale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2860" w14:textId="175C8233" w:rsidR="00935B12" w:rsidRDefault="00935B12" w:rsidP="00935B12">
            <w:pPr>
              <w:widowControl w:val="0"/>
              <w:spacing w:line="240" w:lineRule="auto"/>
            </w:pPr>
            <w:r w:rsidRPr="00935B12">
              <w:t xml:space="preserve">Passes if </w:t>
            </w:r>
            <w:proofErr w:type="spellStart"/>
            <w:r w:rsidRPr="00935B12">
              <w:t>crowdsale</w:t>
            </w:r>
            <w:proofErr w:type="spellEnd"/>
            <w:r w:rsidRPr="00935B12">
              <w:t xml:space="preserve"> is successful</w:t>
            </w:r>
            <w:r>
              <w:t xml:space="preserve"> </w:t>
            </w:r>
          </w:p>
          <w:p w14:paraId="60F5D393" w14:textId="239DAC99" w:rsidR="00176533" w:rsidRDefault="00176533">
            <w:pPr>
              <w:widowControl w:val="0"/>
              <w:spacing w:line="240" w:lineRule="auto"/>
            </w:pPr>
          </w:p>
        </w:tc>
      </w:tr>
      <w:tr w:rsidR="00176533" w14:paraId="3B739674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8F2" w14:textId="33572E53" w:rsidR="00176533" w:rsidRDefault="00EA758B">
            <w:pPr>
              <w:widowControl w:val="0"/>
              <w:spacing w:line="240" w:lineRule="auto"/>
            </w:pPr>
            <w:proofErr w:type="spellStart"/>
            <w:r w:rsidRPr="00EA758B">
              <w:t>onlySuccessfulCrowdsale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480A" w14:textId="29013CFA" w:rsidR="00176533" w:rsidRDefault="00935B12">
            <w:pPr>
              <w:widowControl w:val="0"/>
              <w:spacing w:line="240" w:lineRule="auto"/>
            </w:pPr>
            <w:r w:rsidRPr="00935B12">
              <w:t xml:space="preserve">Passes if </w:t>
            </w:r>
            <w:proofErr w:type="spellStart"/>
            <w:r w:rsidRPr="00935B12">
              <w:t>crowdsale</w:t>
            </w:r>
            <w:proofErr w:type="spellEnd"/>
            <w:r w:rsidRPr="00935B12">
              <w:t xml:space="preserve"> is successful</w:t>
            </w:r>
          </w:p>
        </w:tc>
      </w:tr>
      <w:tr w:rsidR="00176533" w14:paraId="290E6DA1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AC7E" w14:textId="3126BF63" w:rsidR="00176533" w:rsidRDefault="00EA758B">
            <w:pPr>
              <w:widowControl w:val="0"/>
              <w:spacing w:line="240" w:lineRule="auto"/>
            </w:pPr>
            <w:proofErr w:type="spellStart"/>
            <w:r w:rsidRPr="00EA758B">
              <w:t>onlyFailedCrowdsal</w:t>
            </w:r>
            <w:r>
              <w:t>e</w:t>
            </w:r>
            <w:proofErr w:type="spellEnd"/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B22" w14:textId="019738BC" w:rsidR="00176533" w:rsidRDefault="00935B12">
            <w:pPr>
              <w:widowControl w:val="0"/>
              <w:spacing w:line="240" w:lineRule="auto"/>
            </w:pPr>
            <w:r w:rsidRPr="00935B12">
              <w:t xml:space="preserve">Passes if </w:t>
            </w:r>
            <w:proofErr w:type="spellStart"/>
            <w:r w:rsidRPr="00935B12">
              <w:t>crowdsale</w:t>
            </w:r>
            <w:proofErr w:type="spellEnd"/>
            <w:r w:rsidRPr="00935B12">
              <w:t xml:space="preserve"> is failed</w:t>
            </w:r>
          </w:p>
        </w:tc>
      </w:tr>
    </w:tbl>
    <w:p w14:paraId="111805F5" w14:textId="77777777" w:rsidR="00176533" w:rsidRDefault="00176533">
      <w:pPr>
        <w:widowControl w:val="0"/>
        <w:spacing w:line="240" w:lineRule="auto"/>
      </w:pPr>
    </w:p>
    <w:p w14:paraId="61A94DD6" w14:textId="77777777" w:rsidR="00176533" w:rsidRDefault="00BE591B">
      <w:pPr>
        <w:pStyle w:val="Subtitle"/>
        <w:widowControl w:val="0"/>
        <w:spacing w:line="240" w:lineRule="auto"/>
      </w:pPr>
      <w:bookmarkStart w:id="11" w:name="_8ob04wsye1ur" w:colFirst="0" w:colLast="0"/>
      <w:bookmarkEnd w:id="11"/>
      <w:r>
        <w:t>Functions</w:t>
      </w:r>
    </w:p>
    <w:p w14:paraId="371BEFAC" w14:textId="77777777" w:rsidR="00176533" w:rsidRDefault="00BE591B">
      <w:r>
        <w:t xml:space="preserve">The following functions should be present in the smart contract, </w:t>
      </w:r>
      <w:proofErr w:type="gramStart"/>
      <w:r>
        <w:t>The</w:t>
      </w:r>
      <w:proofErr w:type="gramEnd"/>
      <w:r>
        <w:t xml:space="preserve"> student should decide on the visibility of the functions and variables along with view and pure.</w:t>
      </w:r>
    </w:p>
    <w:p w14:paraId="45C666A9" w14:textId="77777777" w:rsidR="00176533" w:rsidRDefault="00176533"/>
    <w:p w14:paraId="675D3EAE" w14:textId="77777777" w:rsidR="00176533" w:rsidRDefault="00BE591B">
      <w:r>
        <w:t xml:space="preserve">For Reference: </w:t>
      </w:r>
      <w:hyperlink r:id="rId9">
        <w:r>
          <w:rPr>
            <w:color w:val="1155CC"/>
            <w:u w:val="single"/>
          </w:rPr>
          <w:t>https://solidity.readthedocs.io/en/v0.4.24/contracts.html</w:t>
        </w:r>
      </w:hyperlink>
    </w:p>
    <w:p w14:paraId="7F3A7884" w14:textId="77777777" w:rsidR="00176533" w:rsidRDefault="00BE591B">
      <w:pPr>
        <w:pStyle w:val="Heading4"/>
      </w:pPr>
      <w:bookmarkStart w:id="12" w:name="_62mkgob5c8r7" w:colFirst="0" w:colLast="0"/>
      <w:bookmarkEnd w:id="12"/>
      <w:r>
        <w:t>Constructor</w:t>
      </w:r>
    </w:p>
    <w:p w14:paraId="012E61F5" w14:textId="77777777" w:rsidR="00176533" w:rsidRDefault="00176533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585"/>
      </w:tblGrid>
      <w:tr w:rsidR="00176533" w14:paraId="759A56AD" w14:textId="77777777">
        <w:tc>
          <w:tcPr>
            <w:tcW w:w="277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AD2C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Functions</w:t>
            </w:r>
          </w:p>
        </w:tc>
        <w:tc>
          <w:tcPr>
            <w:tcW w:w="65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6187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176533" w14:paraId="1C45C19B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147F" w14:textId="77777777" w:rsidR="00176533" w:rsidRDefault="00BE591B">
            <w:pPr>
              <w:widowControl w:val="0"/>
              <w:spacing w:line="240" w:lineRule="auto"/>
            </w:pPr>
            <w:r>
              <w:t>constructor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2A79" w14:textId="1F14976D" w:rsidR="00176533" w:rsidRDefault="00176533" w:rsidP="00935B12">
            <w:pPr>
              <w:widowControl w:val="0"/>
              <w:spacing w:line="240" w:lineRule="auto"/>
            </w:pPr>
          </w:p>
          <w:p w14:paraId="132EAC1F" w14:textId="7AAAE4D2" w:rsidR="00935B12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 </w:t>
            </w:r>
            <w:r w:rsidRPr="00935B12">
              <w:t xml:space="preserve">beneficiary </w:t>
            </w:r>
          </w:p>
          <w:p w14:paraId="40D7B1A6" w14:textId="019AB941" w:rsidR="00935B12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 </w:t>
            </w:r>
            <w:r w:rsidRPr="00935B12">
              <w:t xml:space="preserve">moderator </w:t>
            </w:r>
          </w:p>
          <w:p w14:paraId="5396FCDD" w14:textId="6076525B" w:rsidR="00935B12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 </w:t>
            </w:r>
            <w:proofErr w:type="spellStart"/>
            <w:r w:rsidRPr="00935B12">
              <w:t>fundingGoal</w:t>
            </w:r>
            <w:proofErr w:type="spellEnd"/>
            <w:r w:rsidRPr="00935B12">
              <w:t xml:space="preserve"> </w:t>
            </w:r>
          </w:p>
          <w:p w14:paraId="257BC598" w14:textId="3FE7A2D0" w:rsidR="00935B12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 xml:space="preserve">Set </w:t>
            </w:r>
            <w:proofErr w:type="spellStart"/>
            <w:r w:rsidRPr="00935B12">
              <w:t>fundingCa</w:t>
            </w:r>
            <w:r>
              <w:t>p</w:t>
            </w:r>
            <w:proofErr w:type="spellEnd"/>
          </w:p>
          <w:p w14:paraId="04607BBF" w14:textId="68329466" w:rsidR="00935B12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 </w:t>
            </w:r>
            <w:r w:rsidRPr="00935B12">
              <w:t xml:space="preserve">deadline </w:t>
            </w:r>
          </w:p>
          <w:p w14:paraId="0F376724" w14:textId="42C5B6F2" w:rsidR="00935B12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 </w:t>
            </w:r>
            <w:proofErr w:type="spellStart"/>
            <w:r w:rsidRPr="00935B12">
              <w:t>tokenPriceNumerator</w:t>
            </w:r>
            <w:proofErr w:type="spellEnd"/>
            <w:r w:rsidRPr="00935B12">
              <w:t xml:space="preserve"> </w:t>
            </w:r>
          </w:p>
          <w:p w14:paraId="1425F5A3" w14:textId="70656AB5" w:rsidR="00935B12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 </w:t>
            </w:r>
            <w:proofErr w:type="spellStart"/>
            <w:r w:rsidRPr="00935B12">
              <w:t>tokenPriceDenominator</w:t>
            </w:r>
            <w:proofErr w:type="spellEnd"/>
            <w:r w:rsidRPr="00935B12">
              <w:t xml:space="preserve"> </w:t>
            </w:r>
          </w:p>
          <w:p w14:paraId="1A8931BC" w14:textId="0CFD962A" w:rsidR="00176533" w:rsidRDefault="00935B12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Set </w:t>
            </w:r>
            <w:proofErr w:type="spellStart"/>
            <w:r w:rsidRPr="00935B12">
              <w:t>tokenReward</w:t>
            </w:r>
            <w:proofErr w:type="spellEnd"/>
          </w:p>
        </w:tc>
      </w:tr>
    </w:tbl>
    <w:p w14:paraId="3B2115A6" w14:textId="77777777" w:rsidR="00176533" w:rsidRDefault="00176533">
      <w:pPr>
        <w:widowControl w:val="0"/>
        <w:spacing w:line="240" w:lineRule="auto"/>
      </w:pPr>
    </w:p>
    <w:p w14:paraId="7F485FF0" w14:textId="46F71544" w:rsidR="00176533" w:rsidRDefault="004B62D8">
      <w:pPr>
        <w:pStyle w:val="Heading4"/>
      </w:pPr>
      <w:bookmarkStart w:id="13" w:name="_pckxhldtg22s" w:colFirst="0" w:colLast="0"/>
      <w:bookmarkEnd w:id="13"/>
      <w:r>
        <w:t>Other Functions</w:t>
      </w:r>
    </w:p>
    <w:p w14:paraId="169563D7" w14:textId="77777777" w:rsidR="00176533" w:rsidRDefault="00176533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525"/>
      </w:tblGrid>
      <w:tr w:rsidR="00176533" w14:paraId="1AF54674" w14:textId="77777777">
        <w:tc>
          <w:tcPr>
            <w:tcW w:w="283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E713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Functions</w:t>
            </w:r>
          </w:p>
        </w:tc>
        <w:tc>
          <w:tcPr>
            <w:tcW w:w="65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B80C" w14:textId="77777777" w:rsidR="00176533" w:rsidRDefault="00BE591B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Purpose</w:t>
            </w:r>
          </w:p>
        </w:tc>
      </w:tr>
      <w:tr w:rsidR="004B62D8" w14:paraId="7A152DD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B451" w14:textId="689F69B3" w:rsidR="004B62D8" w:rsidRDefault="004B62D8">
            <w:pPr>
              <w:widowControl w:val="0"/>
              <w:spacing w:line="240" w:lineRule="auto"/>
            </w:pPr>
            <w:r>
              <w:t>Fallback function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6B74" w14:textId="7B3CEEF5" w:rsidR="004B62D8" w:rsidRDefault="004B62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4B62D8">
              <w:t xml:space="preserve">Receive ETH and mint corresponding </w:t>
            </w:r>
            <w:proofErr w:type="gramStart"/>
            <w:r w:rsidRPr="004B62D8">
              <w:t>amount</w:t>
            </w:r>
            <w:proofErr w:type="gramEnd"/>
            <w:r w:rsidRPr="004B62D8">
              <w:t xml:space="preserve"> of tokens</w:t>
            </w:r>
          </w:p>
        </w:tc>
      </w:tr>
      <w:tr w:rsidR="00176533" w14:paraId="4489382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9C6B" w14:textId="6C890B69" w:rsidR="00176533" w:rsidRDefault="004B62D8">
            <w:pPr>
              <w:widowControl w:val="0"/>
              <w:spacing w:line="240" w:lineRule="auto"/>
            </w:pPr>
            <w:proofErr w:type="spellStart"/>
            <w:r>
              <w:t>finishCrowdsale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CBE6" w14:textId="7B3DCE84" w:rsidR="00176533" w:rsidRDefault="004B62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4B62D8">
              <w:t xml:space="preserve">Check if conditions are reached at the </w:t>
            </w:r>
            <w:proofErr w:type="spellStart"/>
            <w:r w:rsidRPr="004B62D8">
              <w:t>dedaline</w:t>
            </w:r>
            <w:proofErr w:type="spellEnd"/>
            <w:r w:rsidRPr="004B62D8">
              <w:t xml:space="preserve"> of the fundraising</w:t>
            </w:r>
          </w:p>
        </w:tc>
      </w:tr>
      <w:tr w:rsidR="00176533" w14:paraId="3B060C2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D1FD7" w14:textId="3A9BD6E8" w:rsidR="00176533" w:rsidRDefault="004B62D8">
            <w:pPr>
              <w:widowControl w:val="0"/>
              <w:spacing w:line="240" w:lineRule="auto"/>
            </w:pPr>
            <w:r>
              <w:t>withdraw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DF51" w14:textId="26310DB3" w:rsidR="00176533" w:rsidRDefault="004B62D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4B62D8">
              <w:t>Refund contributions if the fundraising failed</w:t>
            </w:r>
          </w:p>
        </w:tc>
      </w:tr>
      <w:tr w:rsidR="00176533" w14:paraId="14D7A773" w14:textId="77777777" w:rsidTr="004B62D8">
        <w:trPr>
          <w:trHeight w:val="519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0DCF" w14:textId="47A12DE6" w:rsidR="00176533" w:rsidRDefault="004B62D8">
            <w:pPr>
              <w:widowControl w:val="0"/>
              <w:spacing w:line="240" w:lineRule="auto"/>
            </w:pPr>
            <w:proofErr w:type="spellStart"/>
            <w:r>
              <w:t>forwardCrowdsaleFunding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B215" w14:textId="05381E76" w:rsidR="00176533" w:rsidRDefault="004B62D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4B62D8">
              <w:t>Forward funds to the DAO if the fundraising is successful</w:t>
            </w:r>
          </w:p>
        </w:tc>
      </w:tr>
    </w:tbl>
    <w:p w14:paraId="0E44B081" w14:textId="77777777" w:rsidR="00176533" w:rsidRDefault="00176533">
      <w:bookmarkStart w:id="14" w:name="_1wsuesjxba5a" w:colFirst="0" w:colLast="0"/>
      <w:bookmarkEnd w:id="14"/>
    </w:p>
    <w:sectPr w:rsidR="00176533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2D7A" w14:textId="77777777" w:rsidR="005B620F" w:rsidRDefault="005B620F">
      <w:pPr>
        <w:spacing w:line="240" w:lineRule="auto"/>
      </w:pPr>
      <w:r>
        <w:separator/>
      </w:r>
    </w:p>
  </w:endnote>
  <w:endnote w:type="continuationSeparator" w:id="0">
    <w:p w14:paraId="323F3AFC" w14:textId="77777777" w:rsidR="005B620F" w:rsidRDefault="005B6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915D2" w14:textId="77777777" w:rsidR="005B620F" w:rsidRDefault="005B620F">
      <w:pPr>
        <w:spacing w:line="240" w:lineRule="auto"/>
      </w:pPr>
      <w:r>
        <w:separator/>
      </w:r>
    </w:p>
  </w:footnote>
  <w:footnote w:type="continuationSeparator" w:id="0">
    <w:p w14:paraId="7A3082D7" w14:textId="77777777" w:rsidR="005B620F" w:rsidRDefault="005B6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302F5" w14:textId="359E972F" w:rsidR="00BE591B" w:rsidRDefault="00BE591B">
    <w:pPr>
      <w:jc w:val="right"/>
      <w:rPr>
        <w:color w:val="999999"/>
        <w:sz w:val="16"/>
        <w:szCs w:val="16"/>
      </w:rPr>
    </w:pPr>
    <w:r>
      <w:rPr>
        <w:color w:val="999999"/>
        <w:sz w:val="16"/>
        <w:szCs w:val="16"/>
      </w:rPr>
      <w:t>Crowdfunding Smart Contract Tech Specs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D42A68" wp14:editId="386BE3AC">
          <wp:simplePos x="0" y="0"/>
          <wp:positionH relativeFrom="column">
            <wp:posOffset>1076325</wp:posOffset>
          </wp:positionH>
          <wp:positionV relativeFrom="paragraph">
            <wp:posOffset>-190499</wp:posOffset>
          </wp:positionV>
          <wp:extent cx="661988" cy="644567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285"/>
                  <a:stretch>
                    <a:fillRect/>
                  </a:stretch>
                </pic:blipFill>
                <pic:spPr>
                  <a:xfrm>
                    <a:off x="0" y="0"/>
                    <a:ext cx="661988" cy="6445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0A1C1F" wp14:editId="04E5948D">
          <wp:simplePos x="0" y="0"/>
          <wp:positionH relativeFrom="column">
            <wp:posOffset>1</wp:posOffset>
          </wp:positionH>
          <wp:positionV relativeFrom="paragraph">
            <wp:posOffset>-123824</wp:posOffset>
          </wp:positionV>
          <wp:extent cx="800100" cy="542925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17857" b="14285"/>
                  <a:stretch>
                    <a:fillRect/>
                  </a:stretch>
                </pic:blipFill>
                <pic:spPr>
                  <a:xfrm>
                    <a:off x="0" y="0"/>
                    <a:ext cx="80010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2553D5" w14:textId="7F3B23BA" w:rsidR="00BE591B" w:rsidRDefault="00BE591B">
    <w:pPr>
      <w:jc w:val="right"/>
      <w:rPr>
        <w:color w:val="999999"/>
        <w:sz w:val="16"/>
        <w:szCs w:val="16"/>
      </w:rPr>
    </w:pPr>
    <w:r>
      <w:rPr>
        <w:color w:val="999999"/>
        <w:sz w:val="16"/>
        <w:szCs w:val="16"/>
      </w:rPr>
      <w:t>Author: Eze Chinonso</w:t>
    </w:r>
  </w:p>
  <w:p w14:paraId="4C0E029F" w14:textId="3E475291" w:rsidR="00BE591B" w:rsidRDefault="00BE591B">
    <w:pPr>
      <w:jc w:val="right"/>
      <w:rPr>
        <w:color w:val="999999"/>
        <w:sz w:val="16"/>
        <w:szCs w:val="16"/>
      </w:rPr>
    </w:pPr>
    <w:r>
      <w:rPr>
        <w:color w:val="999999"/>
        <w:sz w:val="16"/>
        <w:szCs w:val="16"/>
      </w:rPr>
      <w:t>Email: ezechinonsof@gmail.com</w:t>
    </w:r>
  </w:p>
  <w:p w14:paraId="50876B7F" w14:textId="77777777" w:rsidR="00BE591B" w:rsidRDefault="00BE591B">
    <w:pPr>
      <w:rPr>
        <w:sz w:val="16"/>
        <w:szCs w:val="16"/>
      </w:rPr>
    </w:pPr>
  </w:p>
  <w:p w14:paraId="7633C9E4" w14:textId="77777777" w:rsidR="00BE591B" w:rsidRDefault="005B620F">
    <w:pPr>
      <w:rPr>
        <w:color w:val="D9D9D9"/>
        <w:sz w:val="16"/>
        <w:szCs w:val="16"/>
      </w:rPr>
    </w:pPr>
    <w:r>
      <w:pict w14:anchorId="76809D0B">
        <v:rect id="_x0000_i1025" style="width:0;height:1.5pt" o:hralign="center" o:hrstd="t" o:hr="t" fillcolor="#a0a0a0" stroked="f"/>
      </w:pict>
    </w:r>
  </w:p>
  <w:p w14:paraId="3BD5191A" w14:textId="77777777" w:rsidR="00BE591B" w:rsidRDefault="00BE591B">
    <w:pPr>
      <w:rPr>
        <w:color w:val="D9D9D9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B59"/>
    <w:multiLevelType w:val="multilevel"/>
    <w:tmpl w:val="97AC1E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418EF"/>
    <w:multiLevelType w:val="multilevel"/>
    <w:tmpl w:val="8B862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9A79A9"/>
    <w:multiLevelType w:val="multilevel"/>
    <w:tmpl w:val="314CBD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E954C3"/>
    <w:multiLevelType w:val="multilevel"/>
    <w:tmpl w:val="F0C0A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0B50EF"/>
    <w:multiLevelType w:val="multilevel"/>
    <w:tmpl w:val="60F61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8D6A32"/>
    <w:multiLevelType w:val="multilevel"/>
    <w:tmpl w:val="9B9E8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625D0E"/>
    <w:multiLevelType w:val="multilevel"/>
    <w:tmpl w:val="3334D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77E8E"/>
    <w:multiLevelType w:val="multilevel"/>
    <w:tmpl w:val="CF3EF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2808D3"/>
    <w:multiLevelType w:val="multilevel"/>
    <w:tmpl w:val="4E5EB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104C8F"/>
    <w:multiLevelType w:val="multilevel"/>
    <w:tmpl w:val="93BC0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8E64E9"/>
    <w:multiLevelType w:val="multilevel"/>
    <w:tmpl w:val="08923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6200C8"/>
    <w:multiLevelType w:val="multilevel"/>
    <w:tmpl w:val="3E302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33"/>
    <w:rsid w:val="00176533"/>
    <w:rsid w:val="001B65F8"/>
    <w:rsid w:val="001C2AC6"/>
    <w:rsid w:val="001E0336"/>
    <w:rsid w:val="00253CBB"/>
    <w:rsid w:val="004B62D8"/>
    <w:rsid w:val="0053616F"/>
    <w:rsid w:val="005B620F"/>
    <w:rsid w:val="007C30C6"/>
    <w:rsid w:val="0080088E"/>
    <w:rsid w:val="00855236"/>
    <w:rsid w:val="00935B12"/>
    <w:rsid w:val="00A705D1"/>
    <w:rsid w:val="00AC0114"/>
    <w:rsid w:val="00AE64E8"/>
    <w:rsid w:val="00BE591B"/>
    <w:rsid w:val="00CC2924"/>
    <w:rsid w:val="00CE07EE"/>
    <w:rsid w:val="00CF6A64"/>
    <w:rsid w:val="00DF3F4C"/>
    <w:rsid w:val="00E16059"/>
    <w:rsid w:val="00E67D09"/>
    <w:rsid w:val="00EA758B"/>
    <w:rsid w:val="00F0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99613"/>
  <w15:docId w15:val="{7E47F7F3-312C-4C87-AE43-0C36E2E4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ans" w:eastAsia="Droid Sans" w:hAnsi="Droid Sans" w:cs="Droid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Arial" w:eastAsia="Arial" w:hAnsi="Arial" w:cs="Arial"/>
      <w:color w:val="1155CC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D9EEB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7D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D09"/>
  </w:style>
  <w:style w:type="paragraph" w:styleId="Footer">
    <w:name w:val="footer"/>
    <w:basedOn w:val="Normal"/>
    <w:link w:val="FooterChar"/>
    <w:uiPriority w:val="99"/>
    <w:unhideWhenUsed/>
    <w:rsid w:val="00E67D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Zeppelin/openzeppelin-contracts/blob/master/contracts/math/SafeMath.s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penZeppelin/openzeppelin-contracts/blob/master/contracts/ownership/Ownable.s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olidity.readthedocs.io/en/v0.4.24/contract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NONSO</dc:creator>
  <cp:lastModifiedBy>Chinonso Eze</cp:lastModifiedBy>
  <cp:revision>2</cp:revision>
  <dcterms:created xsi:type="dcterms:W3CDTF">2020-07-08T17:13:00Z</dcterms:created>
  <dcterms:modified xsi:type="dcterms:W3CDTF">2020-07-08T17:13:00Z</dcterms:modified>
</cp:coreProperties>
</file>