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Clientes: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Sacde S.A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Electromontajes Badia S.R.L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AESA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Destex S.R.L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Zille S.R.L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Tecsa S.R.L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Fricsa S.A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Tecnoriegos S.R.l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Valpoh S.R.L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Simetra Service S.R.L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Codesin S.A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Esos son los más activos y frecuentes al día de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