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6F9A" w:rsidRPr="00AF57E0" w:rsidRDefault="00B362F6" w:rsidP="000E5FC4">
      <w:pPr>
        <w:pStyle w:val="Title"/>
        <w:spacing w:before="0" w:after="480"/>
        <w:jc w:val="center"/>
        <w:rPr>
          <w:rFonts w:ascii="Times New Roman" w:hAnsi="Times New Roman" w:cs="Times New Roman"/>
          <w:color w:val="auto"/>
          <w:sz w:val="28"/>
          <w:szCs w:val="28"/>
        </w:rPr>
      </w:pPr>
      <w:r w:rsidRPr="00AF57E0">
        <w:rPr>
          <w:rFonts w:ascii="Times New Roman" w:hAnsi="Times New Roman" w:cs="Times New Roman"/>
          <w:color w:val="auto"/>
          <w:sz w:val="28"/>
          <w:szCs w:val="28"/>
        </w:rPr>
        <w:t>B. Tech. PROJECT REPORT (Mid-Semester Evaluation)</w:t>
      </w:r>
    </w:p>
    <w:p w:rsidR="000E5FC4" w:rsidRPr="00AF57E0" w:rsidRDefault="000E5FC4" w:rsidP="000E5FC4">
      <w:pPr>
        <w:spacing w:after="120" w:line="240" w:lineRule="auto" w:before="240"/>
        <w:jc w:val="center"/>
        <w:rPr>
          <w:rFonts w:ascii="Times New Roman" w:eastAsia="Times New Roman" w:hAnsi="Times New Roman"/>
          <w:b/>
          <w:sz w:val="28"/>
          <w:szCs w:val="28"/>
        </w:rPr>
      </w:pPr>
      <w:r w:rsidRPr="00AF57E0">
        <w:rPr>
          <w:rFonts w:ascii="Times New Roman" w:eastAsia="Times New Roman" w:hAnsi="Times New Roman" w:cs="Times New Roman"/>
          <w:b/>
          <w:sz w:val="30"/>
          <w:szCs w:val="30"/>
          <w:szCs w:val="28"/>
        </w:rPr>
        <w:t>WIDEBAND MIMO ANTENNA WITH METASURFACE</w:t>
      </w:r>
    </w:p>
    <w:p w:rsidR="000E5FC4" w:rsidRPr="00AF57E0" w:rsidRDefault="000E5FC4" w:rsidP="000E5FC4">
      <w:pPr>
        <w:spacing w:after="320" w:line="240" w:lineRule="auto"/>
        <w:jc w:val="center"/>
        <w:rPr>
          <w:rFonts w:ascii="Times New Roman" w:eastAsia="Times New Roman" w:hAnsi="Times New Roman"/>
          <w:sz w:val="28"/>
          <w:szCs w:val="28"/>
        </w:rPr>
      </w:pPr>
      <w:r>
        <w:rPr>
          <w:rFonts w:ascii="Times New Roman" w:eastAsia="Times New Roman" w:hAnsi="Times New Roman" w:cs="Times New Roman"/>
          <w:i/>
          <w:sz w:val="22"/>
          <w:szCs w:val="22"/>
          <w:szCs w:val="28"/>
        </w:rPr>
        <w:t>Phase I: CPW-fed UWB Antenna with a Split-Ring-Resonator Metasurface Reflector</w:t>
      </w:r>
    </w:p>
    <w:p w:rsidR="000E5FC4" w:rsidRPr="00AF57E0" w:rsidRDefault="000E5FC4" w:rsidP="000E5FC4">
      <w:pPr>
        <w:spacing w:after="400" w:line="240" w:lineRule="auto" w:before="240"/>
        <w:jc w:val="center"/>
        <w:rPr>
          <w:rFonts w:ascii="Times New Roman" w:eastAsia="Times New Roman" w:hAnsi="Times New Roman"/>
          <w:sz w:val="28"/>
          <w:szCs w:val="28"/>
        </w:rPr>
      </w:pPr>
      <w:r>
        <w:drawing>
          <wp:inline xmlns:a="http://schemas.openxmlformats.org/drawingml/2006/main" xmlns:pic="http://schemas.openxmlformats.org/drawingml/2006/picture">
            <wp:extent cx="1234440" cy="1230535"/>
            <wp:docPr id="1" name="Picture 1"/>
            <wp:cNvGraphicFramePr>
              <a:graphicFrameLocks noChangeAspect="1"/>
            </wp:cNvGraphicFramePr>
            <a:graphic>
              <a:graphicData uri="http://schemas.openxmlformats.org/drawingml/2006/picture">
                <pic:pic>
                  <pic:nvPicPr>
                    <pic:cNvPr id="0" name="nits_logo.png"/>
                    <pic:cNvPicPr/>
                  </pic:nvPicPr>
                  <pic:blipFill>
                    <a:blip r:embed="rId8"/>
                    <a:stretch>
                      <a:fillRect/>
                    </a:stretch>
                  </pic:blipFill>
                  <pic:spPr>
                    <a:xfrm>
                      <a:off x="0" y="0"/>
                      <a:ext cx="1234440" cy="1230535"/>
                    </a:xfrm>
                    <a:prstGeom prst="rect"/>
                  </pic:spPr>
                </pic:pic>
              </a:graphicData>
            </a:graphic>
          </wp:inline>
        </w:drawing>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Submitted by:</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CHANSWARANG BORO (2314143)</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8"/>
        </w:rPr>
        <w:t>NISHIT BAISHYA (2314088)</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8"/>
        </w:rPr>
        <w:t>ANUSHKA DAM (2314115)</w:t>
      </w:r>
    </w:p>
    <w:p w:rsidR="000E5FC4" w:rsidRPr="00AF57E0" w:rsidRDefault="000E5FC4" w:rsidP="000E5FC4">
      <w:pPr>
        <w:spacing w:after="40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1"/>
          <w:szCs w:val="28"/>
        </w:rPr>
        <w:t>SANJANA (2314060)</w:t>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8"/>
        </w:rPr>
        <w:t>Under the Guidance of</w:t>
      </w:r>
    </w:p>
    <w:p w:rsidR="000E5FC4" w:rsidRPr="00AF57E0" w:rsidRDefault="000E5FC4" w:rsidP="000E5FC4">
      <w:pPr>
        <w:spacing w:after="6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8"/>
        </w:rPr>
        <w:t>DR. UJJAL CHAKRABORTY</w:t>
      </w:r>
    </w:p>
    <w:p w:rsidR="000E5FC4" w:rsidRPr="00AF57E0" w:rsidRDefault="000E5FC4" w:rsidP="000E5FC4">
      <w:pPr>
        <w:spacing w:after="56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1"/>
          <w:szCs w:val="28"/>
        </w:rPr>
        <w:t>MR. SOVAN BHATTACHARYA (CO-GUIDE)</w:t>
      </w:r>
    </w:p>
    <w:p w:rsidR="000E5FC4" w:rsidRPr="00AF57E0" w:rsidRDefault="000E5FC4" w:rsidP="000E5FC4">
      <w:pPr>
        <w:spacing w:after="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DEPARTMENT OF ELECTRONICS AND COMMUNICATION ENGINEERING</w:t>
      </w:r>
    </w:p>
    <w:p w:rsidR="00AD6F9A" w:rsidRPr="00AF57E0" w:rsidRDefault="000E5FC4" w:rsidP="000E5FC4">
      <w:pPr>
        <w:spacing w:after="0" w:line="288"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NATIONAL INSTITUTE OF TECHNOLOGY SILCHAR, ASSAM (INDIA)-788010</w:t>
        <w:br/>
        <w:t>OCTOBER 2026</w:t>
      </w:r>
    </w:p>
    <w:p w:rsidR="00AD6F9A" w:rsidRPr="000E5FC4" w:rsidRDefault="001F4042">
      <w:pPr>
        <w:pStyle w:val="Heading1"/>
        <w:pageBreakBefore/>
        <w:rPr>
          <w:rFonts w:ascii="Times New Roman" w:hAnsi="Times New Roman" w:cs="Times New Roman"/>
          <w:sz w:val="24"/>
          <w:szCs w:val="24"/>
        </w:rPr>
      </w:pPr>
      <w:r w:rsidRPr="000E5FC4">
        <w:rPr>
          <w:rFonts w:ascii="Times New Roman" w:hAnsi="Times New Roman" w:cs="Times New Roman"/>
          <w:sz w:val="24"/>
          <w:szCs w:val="24"/>
        </w:rPr>
        <w:lastRenderedPageBreak/>
        <w:t>Abstract</w:t>
      </w:r>
    </w:p>
    <w:p>
      <w:pPr>
        <w:spacing w:after="40" w:line="269" w:lineRule="auto"/>
        <w:jc w:val="both"/>
      </w:pPr>
      <w:r>
        <w:rPr>
          <w:rFonts w:ascii="Times New Roman" w:hAnsi="Times New Roman" w:cs="Times New Roman"/>
          <w:sz w:val="21"/>
          <w:szCs w:val="21"/>
        </w:rPr>
        <w:t>Ultra-wideband (UWB) communication and multiple-input multiple-output (MIMO) technology together support high-speed, low-latency wireless links. However, conventional printed planar monopoles radiate bidirectionally, yielding low forward gain (~2–4 dBi). This project develops a high-gain, low-profile wideband MIMO antenna integrated with a metasurface reflector. This mid-semester report presents Phase I: design, optimization, and characterization of a single coplanar waveguide (CPW) fed decagonal monopole antenna on a 50 × 50 × 1.6 mm FR-4 substrate backed by a copper-backed split-ring-resonator (SRR) metasurface. Through a two-stage parametric optimization in CST Studio Suite 2019—varying the ground edge L</w:t>
      </w:r>
      <w:r>
        <w:rPr>
          <w:rFonts w:ascii="Times New Roman" w:hAnsi="Times New Roman" w:cs="Times New Roman"/>
          <w:sz w:val="21"/>
          <w:szCs w:val="21"/>
          <w:vertAlign w:val="subscript"/>
        </w:rPr>
        <w:t>g</w:t>
      </w:r>
      <w:r>
        <w:rPr>
          <w:rFonts w:ascii="Times New Roman" w:hAnsi="Times New Roman" w:cs="Times New Roman"/>
          <w:sz w:val="21"/>
          <w:szCs w:val="21"/>
        </w:rPr>
        <w:t xml:space="preserve"> from y = −20 mm to y = −7 mm and patch circumradius R from 4 mm to 15 mm—the antenna achieves |S</w:t>
      </w:r>
      <w:r>
        <w:rPr>
          <w:rFonts w:ascii="Times New Roman" w:hAnsi="Times New Roman" w:cs="Times New Roman"/>
          <w:sz w:val="21"/>
          <w:szCs w:val="21"/>
          <w:vertAlign w:val="subscript"/>
        </w:rPr>
        <w:t>11</w:t>
      </w:r>
      <w:r>
        <w:rPr>
          <w:rFonts w:ascii="Times New Roman" w:hAnsi="Times New Roman" w:cs="Times New Roman"/>
          <w:sz w:val="21"/>
          <w:szCs w:val="21"/>
        </w:rPr>
        <w:t>| ≤ −10 dB from 2.16 GHz to 15.73 GHz (fractional bandwidth of 151.7 %), comprehensively covering the 2.1 GHz to 15 GHz spectrum with an IEEE gain of 2.9–4.9 dBi. A 6 × 5 double-SRR metasurface placed 3.9 mm behind the antenna provides in-phase reflection to substantially boost forward broadside gain without impedance detuning. Phase II will expand this design into an orthogonal MIMO array.</w:t>
      </w:r>
    </w:p>
    <w:p w:rsidR="00AD6F9A" w:rsidRPr="000E5FC4" w:rsidRDefault="001F4042">
      <w:pPr>
        <w:pStyle w:val="Heading1"/>
        <w:pageBreakBefore w:val="0"/>
        <w:rPr>
          <w:rFonts w:ascii="Times New Roman" w:hAnsi="Times New Roman" w:cs="Times New Roman"/>
          <w:sz w:val="24"/>
          <w:szCs w:val="24"/>
        </w:rPr>
      </w:pPr>
      <w:r w:rsidRPr="000E5FC4">
        <w:rPr>
          <w:rFonts w:ascii="Times New Roman" w:hAnsi="Times New Roman" w:cs="Times New Roman"/>
          <w:sz w:val="24"/>
          <w:szCs w:val="24"/>
        </w:rPr>
        <w:t>Introduction</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Background and Motivation</w:t>
      </w:r>
    </w:p>
    <w:p>
      <w:pPr>
        <w:spacing w:after="40" w:line="269" w:lineRule="auto"/>
        <w:jc w:val="both"/>
      </w:pPr>
      <w:r>
        <w:rPr>
          <w:rFonts w:ascii="Times New Roman" w:hAnsi="Times New Roman" w:cs="Times New Roman"/>
          <w:sz w:val="21"/>
          <w:szCs w:val="21"/>
        </w:rPr>
        <w:t>High-speed wireless links for radar, imaging, and sensing demand multi-gigahertz bandwidths covering 2.1 GHz to 15 GHz. MIMO antenna architectures multiply channel capacity without additional transmit power by exploiting multipath scattering [1], [2]. Planar printed monopoles are favored for wideband systems due to their broad impedance bandwidth [3], [4]. A CPW feed keeps the signal strip and ground planes on the same side, eliminating vias and leaving the rear bare [5]. However, planar monopoles radiate bidirectionally, leading to low forward gain (~2–4 dBi) [6]. While a metal plate requires λ</w:t>
      </w:r>
      <w:r>
        <w:rPr>
          <w:rFonts w:ascii="Times New Roman" w:hAnsi="Times New Roman" w:cs="Times New Roman"/>
          <w:sz w:val="21"/>
          <w:szCs w:val="21"/>
          <w:vertAlign w:val="subscript"/>
        </w:rPr>
        <w:t>0</w:t>
      </w:r>
      <w:r>
        <w:rPr>
          <w:rFonts w:ascii="Times New Roman" w:hAnsi="Times New Roman" w:cs="Times New Roman"/>
          <w:sz w:val="21"/>
          <w:szCs w:val="21"/>
        </w:rPr>
        <w:t>/4 separation to prevent destructive cancellation, an artificial magnetic conductor (AMC) metasurface achieves in-phase reflection, enabling an ultra-thin profile (3.9 mm gap) [7], [8].</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Problem Statement and Objectives</w:t>
      </w:r>
    </w:p>
    <w:p>
      <w:pPr>
        <w:spacing w:after="40" w:line="269" w:lineRule="auto"/>
        <w:jc w:val="both"/>
      </w:pPr>
      <w:r>
        <w:rPr>
          <w:rFonts w:ascii="Times New Roman" w:hAnsi="Times New Roman" w:cs="Times New Roman"/>
          <w:sz w:val="21"/>
          <w:szCs w:val="21"/>
        </w:rPr>
        <w:t>The objective is to design a compact CPW-fed planar decagonal monopole operating across 2.1 GHz to 15 GHz, enhance forward broadside gain using an SRR metasurface reflector at an ultra-thin 3.9 mm air gap, and extend the configuration into a high-isolation multi-port MIMO system [9].</w:t>
      </w:r>
    </w:p>
    <w:p>
      <w:pPr>
        <w:pStyle w:val="ListBullet"/>
        <w:spacing w:after="30" w:line="269" w:lineRule="auto"/>
        <w:jc w:val="both"/>
      </w:pPr>
      <w:r>
        <w:rPr>
          <w:rFonts w:ascii="Times New Roman" w:hAnsi="Times New Roman" w:cs="Times New Roman"/>
          <w:sz w:val="21"/>
          <w:szCs w:val="21"/>
        </w:rPr>
        <w:t>Design and optimize a CPW-fed decagonal monopole antenna achieving |S</w:t>
      </w:r>
      <w:r>
        <w:rPr>
          <w:rFonts w:ascii="Times New Roman" w:hAnsi="Times New Roman" w:cs="Times New Roman"/>
          <w:sz w:val="21"/>
          <w:szCs w:val="21"/>
          <w:vertAlign w:val="subscript"/>
        </w:rPr>
        <w:t>11</w:t>
      </w:r>
      <w:r>
        <w:rPr>
          <w:rFonts w:ascii="Times New Roman" w:hAnsi="Times New Roman" w:cs="Times New Roman"/>
          <w:sz w:val="21"/>
          <w:szCs w:val="21"/>
        </w:rPr>
        <w:t>| ≤ −10 dB from 2.1 GHz to 15 GHz.</w:t>
      </w:r>
    </w:p>
    <w:p>
      <w:pPr>
        <w:pStyle w:val="ListBullet"/>
        <w:spacing w:after="30" w:line="269" w:lineRule="auto"/>
        <w:jc w:val="both"/>
      </w:pPr>
      <w:r>
        <w:rPr>
          <w:rFonts w:ascii="Times New Roman" w:hAnsi="Times New Roman" w:cs="Times New Roman"/>
          <w:sz w:val="21"/>
          <w:szCs w:val="21"/>
        </w:rPr>
        <w:t>Model and characterize an SRR unit cell to achieve AMC in-phase reflection characteristics near resonance.</w:t>
      </w:r>
    </w:p>
    <w:p>
      <w:pPr>
        <w:pStyle w:val="ListBullet"/>
        <w:spacing w:after="30" w:line="269" w:lineRule="auto"/>
        <w:jc w:val="both"/>
      </w:pPr>
      <w:r>
        <w:rPr>
          <w:rFonts w:ascii="Times New Roman" w:hAnsi="Times New Roman" w:cs="Times New Roman"/>
          <w:sz w:val="21"/>
          <w:szCs w:val="21"/>
        </w:rPr>
        <w:t>Integrate a 6 × 5 metasurface array at an ultra-thin 3.9 mm air gap to boost forward gain without detuning matching.</w:t>
      </w:r>
    </w:p>
    <w:p>
      <w:pPr>
        <w:pStyle w:val="ListBullet"/>
        <w:spacing w:after="30" w:line="269" w:lineRule="auto"/>
        <w:jc w:val="both"/>
      </w:pPr>
      <w:r>
        <w:rPr>
          <w:rFonts w:ascii="Times New Roman" w:hAnsi="Times New Roman" w:cs="Times New Roman"/>
          <w:sz w:val="21"/>
          <w:szCs w:val="21"/>
        </w:rPr>
        <w:t>Develop a 4-port orthogonal MIMO array ensuring high inter-port isolation and low envelope correlation.</w:t>
      </w:r>
    </w:p>
    <w:p>
      <w:pPr>
        <w:pStyle w:val="ListBullet"/>
        <w:spacing w:after="30" w:line="269" w:lineRule="auto"/>
        <w:jc w:val="both"/>
      </w:pPr>
      <w:r>
        <w:rPr>
          <w:rFonts w:ascii="Times New Roman" w:hAnsi="Times New Roman" w:cs="Times New Roman"/>
          <w:sz w:val="21"/>
          <w:szCs w:val="21"/>
        </w:rPr>
        <w:t>Fabricate prototypes on FR-4 substrate and validate simulated reflection, isolation, and radiation characteristics experimentally.</w:t>
      </w:r>
    </w:p>
    <w:p w:rsidR="00AD6F9A" w:rsidRPr="000E5FC4" w:rsidRDefault="001F4042">
      <w:pPr>
        <w:pStyle w:val="Heading1"/>
        <w:pageBreakBefore/>
        <w:rPr>
          <w:rFonts w:ascii="Times New Roman" w:hAnsi="Times New Roman" w:cs="Times New Roman"/>
          <w:sz w:val="24"/>
          <w:szCs w:val="24"/>
        </w:rPr>
      </w:pPr>
      <w:r w:rsidRPr="000E5FC4">
        <w:rPr>
          <w:rFonts w:ascii="Times New Roman" w:hAnsi="Times New Roman" w:cs="Times New Roman"/>
          <w:sz w:val="24"/>
          <w:szCs w:val="24"/>
        </w:rPr>
        <w:lastRenderedPageBreak/>
        <w:t>Literature Review</w:t>
      </w:r>
    </w:p>
    <w:p>
      <w:pPr>
        <w:spacing w:after="40" w:line="269" w:lineRule="auto"/>
        <w:jc w:val="both"/>
      </w:pPr>
      <w:r>
        <w:rPr>
          <w:rFonts w:ascii="Times New Roman" w:hAnsi="Times New Roman" w:cs="Times New Roman"/>
          <w:sz w:val="21"/>
          <w:szCs w:val="21"/>
        </w:rPr>
        <w:t>Recent literature on metasurface-assisted antennas addresses single-element gain enhancement and multi-port MIMO decoupling. In single-element designs, Al-Gburi et al. [10] and Hussain et al. [11] demonstrated 4.5–6 dB gain boosts using FSS reflectors, but required large air gaps (9–10 mm). In MIMO implementations, Hasan et al. [12] used a copper-backed SRR metasurface at a 12 mm air gap to achieve &gt; 15.5 dB isolation and 8.3 dBi gain, but covered only 3.08–7.75 GHz. Wu et al. [13] integrated a polarization-conversion metasurface for 5 GHz WBAN MIMO. Table 1 benchmarks representative literature against this work.</w:t>
      </w:r>
    </w:p>
    <w:p>
      <w:pPr>
        <w:keepNext/>
        <w:spacing w:before="20" w:after="40"/>
        <w:jc w:val="center"/>
      </w:pPr>
      <w:r>
        <w:rPr>
          <w:rFonts w:ascii="Times New Roman" w:hAnsi="Times New Roman" w:cs="Times New Roman"/>
          <w:b/>
          <w:sz w:val="18"/>
          <w:szCs w:val="18"/>
        </w:rPr>
        <w:t xml:space="preserve">Table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Table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1</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Comparison of recent wideband / MIMO antennas with metasurface reflectors against this work.</w:t>
      </w:r>
    </w:p>
    <w:tbl>
      <w:tblPr>
        <w:tblStyle w:val="TableGrid"/>
        <w:tblW w:type="auto" w:w="0"/>
        <w:jc w:val="center"/>
        <w:tblLayout w:type="fixed"/>
        <w:tblLook w:firstColumn="1" w:firstRow="1" w:lastColumn="0" w:lastRow="0" w:noHBand="0" w:noVBand="1" w:val="04A0"/>
      </w:tblPr>
      <w:tblGrid>
        <w:gridCol w:w="1440"/>
        <w:gridCol w:w="1368"/>
        <w:gridCol w:w="1080"/>
        <w:gridCol w:w="1944"/>
        <w:gridCol w:w="1152"/>
        <w:gridCol w:w="936"/>
        <w:gridCol w:w="720"/>
      </w:tblGrid>
      <w:tr>
        <w:trPr>
          <w:tblHeader/>
        </w:trPr>
        <w:tc>
          <w:tcPr>
            <w:tcW w:type="dxa" w:w="1440"/>
            <w:vAlign w:val="center"/>
            <w:shd w:val="clear" w:color="auto" w:fill="D9D9D9"/>
          </w:tcPr>
          <w:p>
            <w:pPr>
              <w:spacing w:after="0" w:line="240" w:lineRule="auto"/>
              <w:jc w:val="left"/>
            </w:pPr>
            <w:r>
              <w:rPr>
                <w:rFonts w:ascii="Times New Roman" w:hAnsi="Times New Roman" w:cs="Times New Roman"/>
                <w:b/>
                <w:sz w:val="16"/>
                <w:szCs w:val="16"/>
              </w:rPr>
              <w:t>Reference</w:t>
            </w:r>
          </w:p>
        </w:tc>
        <w:tc>
          <w:tcPr>
            <w:tcW w:type="dxa" w:w="1368"/>
            <w:vAlign w:val="center"/>
            <w:shd w:val="clear" w:color="auto" w:fill="D9D9D9"/>
          </w:tcPr>
          <w:p>
            <w:pPr>
              <w:spacing w:after="0" w:line="240" w:lineRule="auto"/>
              <w:jc w:val="center"/>
            </w:pPr>
            <w:r>
              <w:rPr>
                <w:rFonts w:ascii="Times New Roman" w:hAnsi="Times New Roman" w:cs="Times New Roman"/>
                <w:b/>
                <w:sz w:val="16"/>
                <w:szCs w:val="16"/>
              </w:rPr>
              <w:t>Antenna Type</w:t>
            </w:r>
          </w:p>
        </w:tc>
        <w:tc>
          <w:tcPr>
            <w:tcW w:type="dxa" w:w="1080"/>
            <w:vAlign w:val="center"/>
            <w:shd w:val="clear" w:color="auto" w:fill="D9D9D9"/>
          </w:tcPr>
          <w:p>
            <w:pPr>
              <w:spacing w:after="0" w:line="240" w:lineRule="auto"/>
              <w:jc w:val="center"/>
            </w:pPr>
            <w:r>
              <w:rPr>
                <w:rFonts w:ascii="Times New Roman" w:hAnsi="Times New Roman" w:cs="Times New Roman"/>
                <w:b/>
                <w:sz w:val="16"/>
                <w:szCs w:val="16"/>
              </w:rPr>
              <w:t>Band (GHz)</w:t>
            </w:r>
          </w:p>
        </w:tc>
        <w:tc>
          <w:tcPr>
            <w:tcW w:type="dxa" w:w="1944"/>
            <w:vAlign w:val="center"/>
            <w:shd w:val="clear" w:color="auto" w:fill="D9D9D9"/>
          </w:tcPr>
          <w:p>
            <w:pPr>
              <w:spacing w:after="0" w:line="240" w:lineRule="auto"/>
              <w:jc w:val="center"/>
            </w:pPr>
            <w:r>
              <w:rPr>
                <w:rFonts w:ascii="Times New Roman" w:hAnsi="Times New Roman" w:cs="Times New Roman"/>
                <w:b/>
                <w:sz w:val="16"/>
                <w:szCs w:val="16"/>
              </w:rPr>
              <w:t>Metasurface / Reflector</w:t>
            </w:r>
          </w:p>
        </w:tc>
        <w:tc>
          <w:tcPr>
            <w:tcW w:type="dxa" w:w="1152"/>
            <w:vAlign w:val="center"/>
            <w:shd w:val="clear" w:color="auto" w:fill="D9D9D9"/>
          </w:tcPr>
          <w:p>
            <w:pPr>
              <w:spacing w:after="0" w:line="240" w:lineRule="auto"/>
              <w:jc w:val="center"/>
            </w:pPr>
            <w:r>
              <w:rPr>
                <w:rFonts w:ascii="Times New Roman" w:hAnsi="Times New Roman" w:cs="Times New Roman"/>
                <w:b/>
                <w:sz w:val="16"/>
                <w:szCs w:val="16"/>
              </w:rPr>
              <w:t>Air Gap</w:t>
            </w:r>
          </w:p>
        </w:tc>
        <w:tc>
          <w:tcPr>
            <w:tcW w:type="dxa" w:w="936"/>
            <w:vAlign w:val="center"/>
            <w:shd w:val="clear" w:color="auto" w:fill="D9D9D9"/>
          </w:tcPr>
          <w:p>
            <w:pPr>
              <w:spacing w:after="0" w:line="240" w:lineRule="auto"/>
              <w:jc w:val="center"/>
            </w:pPr>
            <w:r>
              <w:rPr>
                <w:rFonts w:ascii="Times New Roman" w:hAnsi="Times New Roman" w:cs="Times New Roman"/>
                <w:b/>
                <w:sz w:val="16"/>
                <w:szCs w:val="16"/>
              </w:rPr>
              <w:t>Gain Enhancement</w:t>
            </w:r>
          </w:p>
        </w:tc>
        <w:tc>
          <w:tcPr>
            <w:tcW w:type="dxa" w:w="720"/>
            <w:vAlign w:val="center"/>
            <w:shd w:val="clear" w:color="auto" w:fill="D9D9D9"/>
          </w:tcPr>
          <w:p>
            <w:pPr>
              <w:spacing w:after="0" w:line="240" w:lineRule="auto"/>
              <w:jc w:val="center"/>
            </w:pPr>
            <w:r>
              <w:rPr>
                <w:rFonts w:ascii="Times New Roman" w:hAnsi="Times New Roman" w:cs="Times New Roman"/>
                <w:b/>
                <w:sz w:val="16"/>
                <w:szCs w:val="16"/>
              </w:rPr>
              <w:t>Isolation</w:t>
            </w:r>
          </w:p>
        </w:tc>
      </w:tr>
      <w:tr>
        <w:tc>
          <w:tcPr>
            <w:tcW w:type="dxa" w:w="1440"/>
            <w:vAlign w:val="center"/>
          </w:tcPr>
          <w:p>
            <w:pPr>
              <w:spacing w:after="0" w:line="240" w:lineRule="auto"/>
              <w:jc w:val="left"/>
            </w:pPr>
            <w:r>
              <w:rPr>
                <w:rFonts w:ascii="Times New Roman" w:hAnsi="Times New Roman" w:cs="Times New Roman"/>
                <w:sz w:val="16"/>
                <w:szCs w:val="16"/>
              </w:rPr>
              <w:t>Al-Gburi (2022) [10]</w:t>
            </w:r>
          </w:p>
        </w:tc>
        <w:tc>
          <w:tcPr>
            <w:tcW w:type="dxa" w:w="1368"/>
            <w:vAlign w:val="center"/>
          </w:tcPr>
          <w:p>
            <w:pPr>
              <w:spacing w:after="0" w:line="240" w:lineRule="auto"/>
              <w:jc w:val="center"/>
            </w:pPr>
            <w:r>
              <w:rPr>
                <w:rFonts w:ascii="Times New Roman" w:hAnsi="Times New Roman" w:cs="Times New Roman"/>
                <w:sz w:val="16"/>
                <w:szCs w:val="16"/>
              </w:rPr>
              <w:t>1-port CPW ring</w:t>
            </w:r>
          </w:p>
        </w:tc>
        <w:tc>
          <w:tcPr>
            <w:tcW w:type="dxa" w:w="1080"/>
            <w:vAlign w:val="center"/>
          </w:tcPr>
          <w:p>
            <w:pPr>
              <w:spacing w:after="0" w:line="240" w:lineRule="auto"/>
              <w:jc w:val="center"/>
            </w:pPr>
            <w:r>
              <w:rPr>
                <w:rFonts w:ascii="Times New Roman" w:hAnsi="Times New Roman" w:cs="Times New Roman"/>
                <w:sz w:val="16"/>
                <w:szCs w:val="16"/>
              </w:rPr>
              <w:t>3.08–11.5</w:t>
            </w:r>
          </w:p>
        </w:tc>
        <w:tc>
          <w:tcPr>
            <w:tcW w:type="dxa" w:w="1944"/>
            <w:vAlign w:val="center"/>
          </w:tcPr>
          <w:p>
            <w:pPr>
              <w:spacing w:after="0" w:line="240" w:lineRule="auto"/>
              <w:jc w:val="center"/>
            </w:pPr>
            <w:r>
              <w:rPr>
                <w:rFonts w:ascii="Times New Roman" w:hAnsi="Times New Roman" w:cs="Times New Roman"/>
                <w:sz w:val="16"/>
                <w:szCs w:val="16"/>
              </w:rPr>
              <w:t>19 × 19 cross-loop FSS</w:t>
            </w:r>
          </w:p>
        </w:tc>
        <w:tc>
          <w:tcPr>
            <w:tcW w:type="dxa" w:w="1152"/>
            <w:vAlign w:val="center"/>
          </w:tcPr>
          <w:p>
            <w:pPr>
              <w:spacing w:after="0" w:line="240" w:lineRule="auto"/>
              <w:jc w:val="center"/>
            </w:pPr>
            <w:r>
              <w:rPr>
                <w:rFonts w:ascii="Times New Roman" w:hAnsi="Times New Roman" w:cs="Times New Roman"/>
                <w:sz w:val="16"/>
                <w:szCs w:val="16"/>
              </w:rPr>
              <w:t>10 mm (0.10λ</w:t>
            </w:r>
            <w:r>
              <w:rPr>
                <w:rFonts w:ascii="Times New Roman" w:hAnsi="Times New Roman" w:cs="Times New Roman"/>
                <w:sz w:val="16"/>
                <w:szCs w:val="16"/>
                <w:vertAlign w:val="subscript"/>
              </w:rPr>
              <w:t>L</w:t>
            </w:r>
            <w:r>
              <w:rPr>
                <w:rFonts w:ascii="Times New Roman" w:hAnsi="Times New Roman" w:cs="Times New Roman"/>
                <w:sz w:val="16"/>
                <w:szCs w:val="16"/>
              </w:rPr>
              <w:t>)</w:t>
            </w:r>
          </w:p>
        </w:tc>
        <w:tc>
          <w:tcPr>
            <w:tcW w:type="dxa" w:w="936"/>
            <w:vAlign w:val="center"/>
          </w:tcPr>
          <w:p>
            <w:pPr>
              <w:spacing w:after="0" w:line="240" w:lineRule="auto"/>
              <w:jc w:val="center"/>
            </w:pPr>
            <w:r>
              <w:rPr>
                <w:rFonts w:ascii="Times New Roman" w:hAnsi="Times New Roman" w:cs="Times New Roman"/>
                <w:sz w:val="16"/>
                <w:szCs w:val="16"/>
              </w:rPr>
              <w:t>6.7 → 11.5 dBi</w:t>
            </w:r>
          </w:p>
        </w:tc>
        <w:tc>
          <w:tcPr>
            <w:tcW w:type="dxa" w:w="720"/>
            <w:vAlign w:val="center"/>
          </w:tcPr>
          <w:p>
            <w:pPr>
              <w:spacing w:after="0" w:line="240" w:lineRule="auto"/>
              <w:jc w:val="center"/>
            </w:pPr>
            <w:r>
              <w:rPr>
                <w:rFonts w:ascii="Times New Roman" w:hAnsi="Times New Roman" w:cs="Times New Roman"/>
                <w:sz w:val="16"/>
                <w:szCs w:val="16"/>
              </w:rPr>
              <w:t>—</w:t>
            </w:r>
          </w:p>
        </w:tc>
      </w:tr>
      <w:tr>
        <w:tc>
          <w:tcPr>
            <w:tcW w:type="dxa" w:w="1440"/>
            <w:vAlign w:val="center"/>
          </w:tcPr>
          <w:p>
            <w:pPr>
              <w:spacing w:after="0" w:line="240" w:lineRule="auto"/>
              <w:jc w:val="left"/>
            </w:pPr>
            <w:r>
              <w:rPr>
                <w:rFonts w:ascii="Times New Roman" w:hAnsi="Times New Roman" w:cs="Times New Roman"/>
                <w:sz w:val="16"/>
                <w:szCs w:val="16"/>
              </w:rPr>
              <w:t>Hussain (2023) [11]</w:t>
            </w:r>
          </w:p>
        </w:tc>
        <w:tc>
          <w:tcPr>
            <w:tcW w:type="dxa" w:w="1368"/>
            <w:vAlign w:val="center"/>
          </w:tcPr>
          <w:p>
            <w:pPr>
              <w:spacing w:after="0" w:line="240" w:lineRule="auto"/>
              <w:jc w:val="center"/>
            </w:pPr>
            <w:r>
              <w:rPr>
                <w:rFonts w:ascii="Times New Roman" w:hAnsi="Times New Roman" w:cs="Times New Roman"/>
                <w:sz w:val="16"/>
                <w:szCs w:val="16"/>
              </w:rPr>
              <w:t>1-port UWB disc</w:t>
            </w:r>
          </w:p>
        </w:tc>
        <w:tc>
          <w:tcPr>
            <w:tcW w:type="dxa" w:w="1080"/>
            <w:vAlign w:val="center"/>
          </w:tcPr>
          <w:p>
            <w:pPr>
              <w:spacing w:after="0" w:line="240" w:lineRule="auto"/>
              <w:jc w:val="center"/>
            </w:pPr>
            <w:r>
              <w:rPr>
                <w:rFonts w:ascii="Times New Roman" w:hAnsi="Times New Roman" w:cs="Times New Roman"/>
                <w:sz w:val="16"/>
                <w:szCs w:val="16"/>
              </w:rPr>
              <w:t>3.4–10.6</w:t>
            </w:r>
          </w:p>
        </w:tc>
        <w:tc>
          <w:tcPr>
            <w:tcW w:type="dxa" w:w="1944"/>
            <w:vAlign w:val="center"/>
          </w:tcPr>
          <w:p>
            <w:pPr>
              <w:spacing w:after="0" w:line="240" w:lineRule="auto"/>
              <w:jc w:val="center"/>
            </w:pPr>
            <w:r>
              <w:rPr>
                <w:rFonts w:ascii="Times New Roman" w:hAnsi="Times New Roman" w:cs="Times New Roman"/>
                <w:sz w:val="16"/>
                <w:szCs w:val="16"/>
              </w:rPr>
              <w:t>8 × 8 slotted FSS</w:t>
            </w:r>
          </w:p>
        </w:tc>
        <w:tc>
          <w:tcPr>
            <w:tcW w:type="dxa" w:w="1152"/>
            <w:vAlign w:val="center"/>
          </w:tcPr>
          <w:p>
            <w:pPr>
              <w:spacing w:after="0" w:line="240" w:lineRule="auto"/>
              <w:jc w:val="center"/>
            </w:pPr>
            <w:r>
              <w:rPr>
                <w:rFonts w:ascii="Times New Roman" w:hAnsi="Times New Roman" w:cs="Times New Roman"/>
                <w:sz w:val="16"/>
                <w:szCs w:val="16"/>
              </w:rPr>
              <w:t>9 mm (0.10λ</w:t>
            </w:r>
            <w:r>
              <w:rPr>
                <w:rFonts w:ascii="Times New Roman" w:hAnsi="Times New Roman" w:cs="Times New Roman"/>
                <w:sz w:val="16"/>
                <w:szCs w:val="16"/>
                <w:vertAlign w:val="subscript"/>
              </w:rPr>
              <w:t>L</w:t>
            </w:r>
            <w:r>
              <w:rPr>
                <w:rFonts w:ascii="Times New Roman" w:hAnsi="Times New Roman" w:cs="Times New Roman"/>
                <w:sz w:val="16"/>
                <w:szCs w:val="16"/>
              </w:rPr>
              <w:t>)</w:t>
            </w:r>
          </w:p>
        </w:tc>
        <w:tc>
          <w:tcPr>
            <w:tcW w:type="dxa" w:w="936"/>
            <w:vAlign w:val="center"/>
          </w:tcPr>
          <w:p>
            <w:pPr>
              <w:spacing w:after="0" w:line="240" w:lineRule="auto"/>
              <w:jc w:val="center"/>
            </w:pPr>
            <w:r>
              <w:rPr>
                <w:rFonts w:ascii="Times New Roman" w:hAnsi="Times New Roman" w:cs="Times New Roman"/>
                <w:sz w:val="16"/>
                <w:szCs w:val="16"/>
              </w:rPr>
              <w:t>2.2 → 8.4 dBi</w:t>
            </w:r>
          </w:p>
        </w:tc>
        <w:tc>
          <w:tcPr>
            <w:tcW w:type="dxa" w:w="720"/>
            <w:vAlign w:val="center"/>
          </w:tcPr>
          <w:p>
            <w:pPr>
              <w:spacing w:after="0" w:line="240" w:lineRule="auto"/>
              <w:jc w:val="center"/>
            </w:pPr>
            <w:r>
              <w:rPr>
                <w:rFonts w:ascii="Times New Roman" w:hAnsi="Times New Roman" w:cs="Times New Roman"/>
                <w:sz w:val="16"/>
                <w:szCs w:val="16"/>
              </w:rPr>
              <w:t>—</w:t>
            </w:r>
          </w:p>
        </w:tc>
      </w:tr>
      <w:tr>
        <w:tc>
          <w:tcPr>
            <w:tcW w:type="dxa" w:w="1440"/>
            <w:vAlign w:val="center"/>
          </w:tcPr>
          <w:p>
            <w:pPr>
              <w:spacing w:after="0" w:line="240" w:lineRule="auto"/>
              <w:jc w:val="left"/>
            </w:pPr>
            <w:r>
              <w:rPr>
                <w:rFonts w:ascii="Times New Roman" w:hAnsi="Times New Roman" w:cs="Times New Roman"/>
                <w:sz w:val="16"/>
                <w:szCs w:val="16"/>
              </w:rPr>
              <w:t>Hasan (2022) [12]</w:t>
            </w:r>
          </w:p>
        </w:tc>
        <w:tc>
          <w:tcPr>
            <w:tcW w:type="dxa" w:w="1368"/>
            <w:vAlign w:val="center"/>
          </w:tcPr>
          <w:p>
            <w:pPr>
              <w:spacing w:after="0" w:line="240" w:lineRule="auto"/>
              <w:jc w:val="center"/>
            </w:pPr>
            <w:r>
              <w:rPr>
                <w:rFonts w:ascii="Times New Roman" w:hAnsi="Times New Roman" w:cs="Times New Roman"/>
                <w:sz w:val="16"/>
                <w:szCs w:val="16"/>
              </w:rPr>
              <w:t>4-port square patch</w:t>
            </w:r>
          </w:p>
        </w:tc>
        <w:tc>
          <w:tcPr>
            <w:tcW w:type="dxa" w:w="1080"/>
            <w:vAlign w:val="center"/>
          </w:tcPr>
          <w:p>
            <w:pPr>
              <w:spacing w:after="0" w:line="240" w:lineRule="auto"/>
              <w:jc w:val="center"/>
            </w:pPr>
            <w:r>
              <w:rPr>
                <w:rFonts w:ascii="Times New Roman" w:hAnsi="Times New Roman" w:cs="Times New Roman"/>
                <w:sz w:val="16"/>
                <w:szCs w:val="16"/>
              </w:rPr>
              <w:t>3.08–7.75</w:t>
            </w:r>
          </w:p>
        </w:tc>
        <w:tc>
          <w:tcPr>
            <w:tcW w:type="dxa" w:w="1944"/>
            <w:vAlign w:val="center"/>
          </w:tcPr>
          <w:p>
            <w:pPr>
              <w:spacing w:after="0" w:line="240" w:lineRule="auto"/>
              <w:jc w:val="center"/>
            </w:pPr>
            <w:r>
              <w:rPr>
                <w:rFonts w:ascii="Times New Roman" w:hAnsi="Times New Roman" w:cs="Times New Roman"/>
                <w:sz w:val="16"/>
                <w:szCs w:val="16"/>
              </w:rPr>
              <w:t>10 × 10 SRR AMC (backed)</w:t>
            </w:r>
          </w:p>
        </w:tc>
        <w:tc>
          <w:tcPr>
            <w:tcW w:type="dxa" w:w="1152"/>
            <w:vAlign w:val="center"/>
          </w:tcPr>
          <w:p>
            <w:pPr>
              <w:spacing w:after="0" w:line="240" w:lineRule="auto"/>
              <w:jc w:val="center"/>
            </w:pPr>
            <w:r>
              <w:rPr>
                <w:rFonts w:ascii="Times New Roman" w:hAnsi="Times New Roman" w:cs="Times New Roman"/>
                <w:sz w:val="16"/>
                <w:szCs w:val="16"/>
              </w:rPr>
              <w:t>12 mm (0.12λ</w:t>
            </w:r>
            <w:r>
              <w:rPr>
                <w:rFonts w:ascii="Times New Roman" w:hAnsi="Times New Roman" w:cs="Times New Roman"/>
                <w:sz w:val="16"/>
                <w:szCs w:val="16"/>
                <w:vertAlign w:val="subscript"/>
              </w:rPr>
              <w:t>L</w:t>
            </w:r>
            <w:r>
              <w:rPr>
                <w:rFonts w:ascii="Times New Roman" w:hAnsi="Times New Roman" w:cs="Times New Roman"/>
                <w:sz w:val="16"/>
                <w:szCs w:val="16"/>
              </w:rPr>
              <w:t>)</w:t>
            </w:r>
          </w:p>
        </w:tc>
        <w:tc>
          <w:tcPr>
            <w:tcW w:type="dxa" w:w="936"/>
            <w:vAlign w:val="center"/>
          </w:tcPr>
          <w:p>
            <w:pPr>
              <w:spacing w:after="0" w:line="240" w:lineRule="auto"/>
              <w:jc w:val="center"/>
            </w:pPr>
            <w:r>
              <w:rPr>
                <w:rFonts w:ascii="Times New Roman" w:hAnsi="Times New Roman" w:cs="Times New Roman"/>
                <w:sz w:val="16"/>
                <w:szCs w:val="16"/>
              </w:rPr>
              <w:t>5.4 → 8.3 dBi</w:t>
            </w:r>
          </w:p>
        </w:tc>
        <w:tc>
          <w:tcPr>
            <w:tcW w:type="dxa" w:w="720"/>
            <w:vAlign w:val="center"/>
          </w:tcPr>
          <w:p>
            <w:pPr>
              <w:spacing w:after="0" w:line="240" w:lineRule="auto"/>
              <w:jc w:val="center"/>
            </w:pPr>
            <w:r>
              <w:rPr>
                <w:rFonts w:ascii="Times New Roman" w:hAnsi="Times New Roman" w:cs="Times New Roman"/>
                <w:sz w:val="16"/>
                <w:szCs w:val="16"/>
              </w:rPr>
              <w:t>&gt; 15.5 dB</w:t>
            </w:r>
          </w:p>
        </w:tc>
      </w:tr>
      <w:tr>
        <w:tc>
          <w:tcPr>
            <w:tcW w:type="dxa" w:w="1440"/>
            <w:vAlign w:val="center"/>
          </w:tcPr>
          <w:p>
            <w:pPr>
              <w:spacing w:after="0" w:line="240" w:lineRule="auto"/>
              <w:jc w:val="left"/>
            </w:pPr>
            <w:r>
              <w:rPr>
                <w:rFonts w:ascii="Times New Roman" w:hAnsi="Times New Roman" w:cs="Times New Roman"/>
                <w:sz w:val="16"/>
                <w:szCs w:val="16"/>
              </w:rPr>
              <w:t>Wu (2023) [13]</w:t>
            </w:r>
          </w:p>
        </w:tc>
        <w:tc>
          <w:tcPr>
            <w:tcW w:type="dxa" w:w="1368"/>
            <w:vAlign w:val="center"/>
          </w:tcPr>
          <w:p>
            <w:pPr>
              <w:spacing w:after="0" w:line="240" w:lineRule="auto"/>
              <w:jc w:val="center"/>
            </w:pPr>
            <w:r>
              <w:rPr>
                <w:rFonts w:ascii="Times New Roman" w:hAnsi="Times New Roman" w:cs="Times New Roman"/>
                <w:sz w:val="16"/>
                <w:szCs w:val="16"/>
              </w:rPr>
              <w:t>2-port CPW monopole</w:t>
            </w:r>
          </w:p>
        </w:tc>
        <w:tc>
          <w:tcPr>
            <w:tcW w:type="dxa" w:w="1080"/>
            <w:vAlign w:val="center"/>
          </w:tcPr>
          <w:p>
            <w:pPr>
              <w:spacing w:after="0" w:line="240" w:lineRule="auto"/>
              <w:jc w:val="center"/>
            </w:pPr>
            <w:r>
              <w:rPr>
                <w:rFonts w:ascii="Times New Roman" w:hAnsi="Times New Roman" w:cs="Times New Roman"/>
                <w:sz w:val="16"/>
                <w:szCs w:val="16"/>
              </w:rPr>
              <w:t>4.76–6.77</w:t>
            </w:r>
          </w:p>
        </w:tc>
        <w:tc>
          <w:tcPr>
            <w:tcW w:type="dxa" w:w="1944"/>
            <w:vAlign w:val="center"/>
          </w:tcPr>
          <w:p>
            <w:pPr>
              <w:spacing w:after="0" w:line="240" w:lineRule="auto"/>
              <w:jc w:val="center"/>
            </w:pPr>
            <w:r>
              <w:rPr>
                <w:rFonts w:ascii="Times New Roman" w:hAnsi="Times New Roman" w:cs="Times New Roman"/>
                <w:sz w:val="16"/>
                <w:szCs w:val="16"/>
              </w:rPr>
              <w:t>Polarization-conversion MS</w:t>
            </w:r>
          </w:p>
        </w:tc>
        <w:tc>
          <w:tcPr>
            <w:tcW w:type="dxa" w:w="1152"/>
            <w:vAlign w:val="center"/>
          </w:tcPr>
          <w:p>
            <w:pPr>
              <w:spacing w:after="0" w:line="240" w:lineRule="auto"/>
              <w:jc w:val="center"/>
            </w:pPr>
            <w:r>
              <w:rPr>
                <w:rFonts w:ascii="Times New Roman" w:hAnsi="Times New Roman" w:cs="Times New Roman"/>
                <w:sz w:val="16"/>
                <w:szCs w:val="16"/>
              </w:rPr>
              <w:t>Integrated</w:t>
            </w:r>
          </w:p>
        </w:tc>
        <w:tc>
          <w:tcPr>
            <w:tcW w:type="dxa" w:w="936"/>
            <w:vAlign w:val="center"/>
          </w:tcPr>
          <w:p>
            <w:pPr>
              <w:spacing w:after="0" w:line="240" w:lineRule="auto"/>
              <w:jc w:val="center"/>
            </w:pPr>
            <w:r>
              <w:rPr>
                <w:rFonts w:ascii="Times New Roman" w:hAnsi="Times New Roman" w:cs="Times New Roman"/>
                <w:sz w:val="16"/>
                <w:szCs w:val="16"/>
              </w:rPr>
              <w:t>7.95 dBic</w:t>
            </w:r>
          </w:p>
        </w:tc>
        <w:tc>
          <w:tcPr>
            <w:tcW w:type="dxa" w:w="720"/>
            <w:vAlign w:val="center"/>
          </w:tcPr>
          <w:p>
            <w:pPr>
              <w:spacing w:after="0" w:line="240" w:lineRule="auto"/>
              <w:jc w:val="center"/>
            </w:pPr>
            <w:r>
              <w:rPr>
                <w:rFonts w:ascii="Times New Roman" w:hAnsi="Times New Roman" w:cs="Times New Roman"/>
                <w:sz w:val="16"/>
                <w:szCs w:val="16"/>
              </w:rPr>
              <w:t>&gt; 19.8 dB</w:t>
            </w:r>
          </w:p>
        </w:tc>
      </w:tr>
      <w:tr>
        <w:tc>
          <w:tcPr>
            <w:tcW w:type="dxa" w:w="1440"/>
            <w:vAlign w:val="center"/>
            <w:shd w:val="clear" w:color="auto" w:fill="DCE6F2"/>
          </w:tcPr>
          <w:p>
            <w:pPr>
              <w:spacing w:after="0" w:line="240" w:lineRule="auto"/>
              <w:jc w:val="left"/>
            </w:pPr>
            <w:r>
              <w:rPr>
                <w:rFonts w:ascii="Times New Roman" w:hAnsi="Times New Roman" w:cs="Times New Roman"/>
                <w:b/>
                <w:sz w:val="16"/>
                <w:szCs w:val="16"/>
              </w:rPr>
              <w:t>This Work</w:t>
            </w:r>
          </w:p>
        </w:tc>
        <w:tc>
          <w:tcPr>
            <w:tcW w:type="dxa" w:w="1368"/>
            <w:vAlign w:val="center"/>
            <w:shd w:val="clear" w:color="auto" w:fill="DCE6F2"/>
          </w:tcPr>
          <w:p>
            <w:pPr>
              <w:spacing w:after="0" w:line="240" w:lineRule="auto"/>
              <w:jc w:val="center"/>
            </w:pPr>
            <w:r>
              <w:rPr>
                <w:rFonts w:ascii="Times New Roman" w:hAnsi="Times New Roman" w:cs="Times New Roman"/>
                <w:sz w:val="16"/>
                <w:szCs w:val="16"/>
              </w:rPr>
              <w:t>1-port decagon (→ MIMO)</w:t>
            </w:r>
          </w:p>
        </w:tc>
        <w:tc>
          <w:tcPr>
            <w:tcW w:type="dxa" w:w="1080"/>
            <w:vAlign w:val="center"/>
            <w:shd w:val="clear" w:color="auto" w:fill="DCE6F2"/>
          </w:tcPr>
          <w:p>
            <w:pPr>
              <w:spacing w:after="0" w:line="240" w:lineRule="auto"/>
              <w:jc w:val="center"/>
            </w:pPr>
            <w:r>
              <w:rPr>
                <w:rFonts w:ascii="Times New Roman" w:hAnsi="Times New Roman" w:cs="Times New Roman"/>
                <w:sz w:val="16"/>
                <w:szCs w:val="16"/>
              </w:rPr>
              <w:t>2.16–15.73</w:t>
            </w:r>
          </w:p>
        </w:tc>
        <w:tc>
          <w:tcPr>
            <w:tcW w:type="dxa" w:w="1944"/>
            <w:vAlign w:val="center"/>
            <w:shd w:val="clear" w:color="auto" w:fill="DCE6F2"/>
          </w:tcPr>
          <w:p>
            <w:pPr>
              <w:spacing w:after="0" w:line="240" w:lineRule="auto"/>
              <w:jc w:val="center"/>
            </w:pPr>
            <w:r>
              <w:rPr>
                <w:rFonts w:ascii="Times New Roman" w:hAnsi="Times New Roman" w:cs="Times New Roman"/>
                <w:sz w:val="16"/>
                <w:szCs w:val="16"/>
              </w:rPr>
              <w:t>6 × 5 double-SRR AMC</w:t>
            </w:r>
          </w:p>
        </w:tc>
        <w:tc>
          <w:tcPr>
            <w:tcW w:type="dxa" w:w="1152"/>
            <w:vAlign w:val="center"/>
            <w:shd w:val="clear" w:color="auto" w:fill="DCE6F2"/>
          </w:tcPr>
          <w:p>
            <w:pPr>
              <w:spacing w:after="0" w:line="240" w:lineRule="auto"/>
              <w:jc w:val="center"/>
            </w:pPr>
            <w:r>
              <w:rPr>
                <w:rFonts w:ascii="Times New Roman" w:hAnsi="Times New Roman" w:cs="Times New Roman"/>
                <w:b/>
                <w:sz w:val="16"/>
                <w:szCs w:val="16"/>
              </w:rPr>
              <w:t>3.9 mm (0.03λ</w:t>
            </w:r>
            <w:r>
              <w:rPr>
                <w:rFonts w:ascii="Times New Roman" w:hAnsi="Times New Roman" w:cs="Times New Roman"/>
                <w:b/>
                <w:sz w:val="16"/>
                <w:szCs w:val="16"/>
                <w:vertAlign w:val="subscript"/>
              </w:rPr>
              <w:t>L</w:t>
            </w:r>
            <w:r>
              <w:rPr>
                <w:rFonts w:ascii="Times New Roman" w:hAnsi="Times New Roman" w:cs="Times New Roman"/>
                <w:b/>
                <w:sz w:val="16"/>
                <w:szCs w:val="16"/>
              </w:rPr>
              <w:t>)</w:t>
            </w:r>
          </w:p>
        </w:tc>
        <w:tc>
          <w:tcPr>
            <w:tcW w:type="dxa" w:w="936"/>
            <w:vAlign w:val="center"/>
            <w:shd w:val="clear" w:color="auto" w:fill="DCE6F2"/>
          </w:tcPr>
          <w:p>
            <w:pPr>
              <w:spacing w:after="0" w:line="240" w:lineRule="auto"/>
              <w:jc w:val="center"/>
            </w:pPr>
            <w:r>
              <w:rPr>
                <w:rFonts w:ascii="Times New Roman" w:hAnsi="Times New Roman" w:cs="Times New Roman"/>
                <w:sz w:val="16"/>
                <w:szCs w:val="16"/>
              </w:rPr>
              <w:t>≈ 2.9–4.9 dBi → pending</w:t>
            </w:r>
          </w:p>
        </w:tc>
        <w:tc>
          <w:tcPr>
            <w:tcW w:type="dxa" w:w="720"/>
            <w:vAlign w:val="center"/>
            <w:shd w:val="clear" w:color="auto" w:fill="DCE6F2"/>
          </w:tcPr>
          <w:p>
            <w:pPr>
              <w:spacing w:after="0" w:line="240" w:lineRule="auto"/>
              <w:jc w:val="center"/>
            </w:pPr>
            <w:r>
              <w:rPr>
                <w:rFonts w:ascii="Times New Roman" w:hAnsi="Times New Roman" w:cs="Times New Roman"/>
                <w:sz w:val="16"/>
                <w:szCs w:val="16"/>
              </w:rPr>
              <w:t>&gt; 15 dB (target)</w:t>
            </w:r>
          </w:p>
        </w:tc>
      </w:tr>
    </w:tbl>
    <w:p>
      <w:pPr>
        <w:spacing w:after="40"/>
      </w:pP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Research Gap</w:t>
      </w:r>
    </w:p>
    <w:p>
      <w:pPr>
        <w:spacing w:after="40" w:line="269" w:lineRule="auto"/>
        <w:jc w:val="both"/>
      </w:pPr>
      <w:r>
        <w:rPr>
          <w:rFonts w:ascii="Times New Roman" w:hAnsi="Times New Roman" w:cs="Times New Roman"/>
          <w:sz w:val="21"/>
          <w:szCs w:val="21"/>
        </w:rPr>
        <w:t>Existing literature reveals three principal gaps: (1) reflectors behind UWB monopoles use large gaps (9–20 mm, ~0.10–0.20λ</w:t>
      </w:r>
      <w:r>
        <w:rPr>
          <w:rFonts w:ascii="Times New Roman" w:hAnsi="Times New Roman" w:cs="Times New Roman"/>
          <w:sz w:val="21"/>
          <w:szCs w:val="21"/>
          <w:vertAlign w:val="subscript"/>
        </w:rPr>
        <w:t>0</w:t>
      </w:r>
      <w:r>
        <w:rPr>
          <w:rFonts w:ascii="Times New Roman" w:hAnsi="Times New Roman" w:cs="Times New Roman"/>
          <w:sz w:val="21"/>
          <w:szCs w:val="21"/>
        </w:rPr>
        <w:t>), with no reported design under a sub-4 mm profile; (2) prior works rarely benchmark metasurface gain against a metal plate at the same spacing; and (3) reported metasurface MIMO antennas cover narrower sub-bands rather than the full 3.1–10.6 GHz UWB standard. This project bridges this gap with an ultra-thin 3.9 mm profile and full UWB MIMO coverage.</w:t>
      </w:r>
    </w:p>
    <w:p w:rsidR="00AD6F9A" w:rsidRPr="000E5FC4" w:rsidRDefault="001F4042">
      <w:pPr>
        <w:pStyle w:val="Heading1"/>
        <w:pageBreakBefore/>
        <w:rPr>
          <w:rFonts w:ascii="Times New Roman" w:hAnsi="Times New Roman" w:cs="Times New Roman"/>
          <w:sz w:val="24"/>
          <w:szCs w:val="24"/>
        </w:rPr>
      </w:pPr>
      <w:r w:rsidRPr="000E5FC4">
        <w:rPr>
          <w:rFonts w:ascii="Times New Roman" w:hAnsi="Times New Roman" w:cs="Times New Roman"/>
          <w:sz w:val="24"/>
          <w:szCs w:val="24"/>
        </w:rPr>
        <w:lastRenderedPageBreak/>
        <w:t>Methodology / Proposed Work</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1. Overall Workflow and Methodology</w:t>
      </w:r>
    </w:p>
    <w:p>
      <w:pPr>
        <w:spacing w:after="40" w:line="269" w:lineRule="auto"/>
        <w:jc w:val="both"/>
      </w:pPr>
      <w:r>
        <w:rPr>
          <w:rFonts w:ascii="Times New Roman" w:hAnsi="Times New Roman" w:cs="Times New Roman"/>
          <w:sz w:val="21"/>
          <w:szCs w:val="21"/>
        </w:rPr>
        <w:t>The sequential workflow is shown in Fig. 1: setting up the baseline CPW radiator, optimizing ground edge L</w:t>
      </w:r>
      <w:r>
        <w:rPr>
          <w:rFonts w:ascii="Times New Roman" w:hAnsi="Times New Roman" w:cs="Times New Roman"/>
          <w:sz w:val="21"/>
          <w:szCs w:val="21"/>
          <w:vertAlign w:val="subscript"/>
        </w:rPr>
        <w:t>g</w:t>
      </w:r>
      <w:r>
        <w:rPr>
          <w:rFonts w:ascii="Times New Roman" w:hAnsi="Times New Roman" w:cs="Times New Roman"/>
          <w:sz w:val="21"/>
          <w:szCs w:val="21"/>
        </w:rPr>
        <w:t xml:space="preserve"> for matching, sweeping patch radius R for bandwidth, synthesizing the optimized monopole, integrating an SRR metasurface at 3.9 mm air gap, and 4-port MIMO extension.</w:t>
      </w:r>
    </w:p>
    <w:p>
      <w:pPr>
        <w:keepNext/>
        <w:spacing w:after="20"/>
        <w:jc w:val="center"/>
      </w:pPr>
      <w:r>
        <w:drawing>
          <wp:inline xmlns:a="http://schemas.openxmlformats.org/drawingml/2006/main" xmlns:pic="http://schemas.openxmlformats.org/drawingml/2006/picture">
            <wp:extent cx="3200400" cy="1299956"/>
            <wp:docPr id="2" name="Picture 2"/>
            <wp:cNvGraphicFramePr>
              <a:graphicFrameLocks noChangeAspect="1"/>
            </wp:cNvGraphicFramePr>
            <a:graphic>
              <a:graphicData uri="http://schemas.openxmlformats.org/drawingml/2006/picture">
                <pic:pic>
                  <pic:nvPicPr>
                    <pic:cNvPr id="0" name="fig_design_flow.png"/>
                    <pic:cNvPicPr/>
                  </pic:nvPicPr>
                  <pic:blipFill>
                    <a:blip r:embed="rId9"/>
                    <a:stretch>
                      <a:fillRect/>
                    </a:stretch>
                  </pic:blipFill>
                  <pic:spPr>
                    <a:xfrm>
                      <a:off x="0" y="0"/>
                      <a:ext cx="3200400" cy="1299956"/>
                    </a:xfrm>
                    <a:prstGeom prst="rect"/>
                  </pic:spPr>
                </pic:pic>
              </a:graphicData>
            </a:graphic>
          </wp:inline>
        </w:drawing>
      </w:r>
    </w:p>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1</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Design and optimization workflow of the wideband antenna and metasurface.</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2. CST Microwave Studio Simulation Setup</w:t>
      </w:r>
    </w:p>
    <w:p>
      <w:pPr>
        <w:spacing w:after="40" w:line="269" w:lineRule="auto"/>
        <w:jc w:val="both"/>
      </w:pPr>
      <w:r>
        <w:rPr>
          <w:rFonts w:ascii="Times New Roman" w:hAnsi="Times New Roman" w:cs="Times New Roman"/>
          <w:sz w:val="21"/>
          <w:szCs w:val="21"/>
        </w:rPr>
        <w:t>Simulations used CST Studio Suite 2019 Frequency-Domain Solver (0–18 GHz) with adaptive tetrahedral meshing. The antenna is modeled on 50 × 50 mm FR-4 (ε</w:t>
      </w:r>
      <w:r>
        <w:rPr>
          <w:rFonts w:ascii="Times New Roman" w:hAnsi="Times New Roman" w:cs="Times New Roman"/>
          <w:sz w:val="21"/>
          <w:szCs w:val="21"/>
          <w:vertAlign w:val="subscript"/>
        </w:rPr>
        <w:t>r</w:t>
      </w:r>
      <w:r>
        <w:rPr>
          <w:rFonts w:ascii="Times New Roman" w:hAnsi="Times New Roman" w:cs="Times New Roman"/>
          <w:sz w:val="21"/>
          <w:szCs w:val="21"/>
        </w:rPr>
        <w:t xml:space="preserve"> = 4.3, tan δ = 0.025, h</w:t>
      </w:r>
      <w:r>
        <w:rPr>
          <w:rFonts w:ascii="Times New Roman" w:hAnsi="Times New Roman" w:cs="Times New Roman"/>
          <w:sz w:val="21"/>
          <w:szCs w:val="21"/>
          <w:vertAlign w:val="subscript"/>
        </w:rPr>
        <w:t>s</w:t>
      </w:r>
      <w:r>
        <w:rPr>
          <w:rFonts w:ascii="Times New Roman" w:hAnsi="Times New Roman" w:cs="Times New Roman"/>
          <w:sz w:val="21"/>
          <w:szCs w:val="21"/>
        </w:rPr>
        <w:t xml:space="preserve"> = 1.6 mm, 35 µm copper). The 50 Ω CPW feed has a 3.0 mm signal strip and two coplanar grounds separated by 0.5 mm slots, excited by a waveguide port.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3. Initial Antenna Design and Baseline S</w:t>
      </w:r>
      <w:r>
        <w:rPr>
          <w:rFonts w:ascii="Times New Roman" w:hAnsi="Times New Roman" w:cs="Times New Roman"/>
          <w:b/>
          <w:i/>
          <w:sz w:val="22"/>
          <w:szCs w:val="22"/>
          <w:vertAlign w:val="subscript"/>
        </w:rPr>
        <w:t>11</w:t>
      </w:r>
      <w:r>
        <w:rPr>
          <w:rFonts w:ascii="Times New Roman" w:hAnsi="Times New Roman" w:cs="Times New Roman"/>
          <w:b/>
          <w:i/>
          <w:sz w:val="22"/>
          <w:szCs w:val="22"/>
        </w:rPr>
        <w:t xml:space="preserve"> Performance</w:t>
      </w:r>
    </w:p>
    <w:p>
      <w:pPr>
        <w:spacing w:after="40" w:line="269" w:lineRule="auto"/>
        <w:jc w:val="both"/>
      </w:pPr>
      <w:r>
        <w:rPr>
          <w:rFonts w:ascii="Times New Roman" w:hAnsi="Times New Roman" w:cs="Times New Roman"/>
          <w:sz w:val="21"/>
          <w:szCs w:val="21"/>
        </w:rPr>
        <w:t>The initial radiator has a decagonal patch (R = 15 mm, center x</w:t>
      </w:r>
      <w:r>
        <w:rPr>
          <w:rFonts w:ascii="Times New Roman" w:hAnsi="Times New Roman" w:cs="Times New Roman"/>
          <w:sz w:val="21"/>
          <w:szCs w:val="21"/>
          <w:vertAlign w:val="subscript"/>
        </w:rPr>
        <w:t>p</w:t>
      </w:r>
      <w:r>
        <w:rPr>
          <w:rFonts w:ascii="Times New Roman" w:hAnsi="Times New Roman" w:cs="Times New Roman"/>
          <w:sz w:val="21"/>
          <w:szCs w:val="21"/>
        </w:rPr>
        <w:t xml:space="preserve"> = 8 mm) with CPW grounds at y = −20 mm (L</w:t>
      </w:r>
      <w:r>
        <w:rPr>
          <w:rFonts w:ascii="Times New Roman" w:hAnsi="Times New Roman" w:cs="Times New Roman"/>
          <w:sz w:val="21"/>
          <w:szCs w:val="21"/>
          <w:vertAlign w:val="subscript"/>
        </w:rPr>
        <w:t>g</w:t>
      </w:r>
      <w:r>
        <w:rPr>
          <w:rFonts w:ascii="Times New Roman" w:hAnsi="Times New Roman" w:cs="Times New Roman"/>
          <w:sz w:val="21"/>
          <w:szCs w:val="21"/>
        </w:rPr>
        <w:t xml:space="preserve"> = −20 mm, Fig. 2(a)), leaving a large 13.73 mm gap to the patch. Weak capacitive coupling across this gap kept baseline |S</w:t>
      </w:r>
      <w:r>
        <w:rPr>
          <w:rFonts w:ascii="Times New Roman" w:hAnsi="Times New Roman" w:cs="Times New Roman"/>
          <w:sz w:val="21"/>
          <w:szCs w:val="21"/>
          <w:vertAlign w:val="subscript"/>
        </w:rPr>
        <w:t>11</w:t>
      </w:r>
      <w:r>
        <w:rPr>
          <w:rFonts w:ascii="Times New Roman" w:hAnsi="Times New Roman" w:cs="Times New Roman"/>
          <w:sz w:val="21"/>
          <w:szCs w:val="21"/>
        </w:rPr>
        <w:t>| above −10 dB (−3 to −8 dB) across almost the entire spectrum (Fig. 2(b)), failing wideband requirements.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320"/>
        <w:gridCol w:w="4320"/>
      </w:tblGrid>
      <w:tr>
        <w:tc>
          <w:tcPr>
            <w:tcW w:type="dxa" w:w="4320"/>
          </w:tcPr>
          <w:p>
            <w:pPr>
              <w:keepNext/>
              <w:spacing w:before="0" w:after="0"/>
              <w:jc w:val="center"/>
            </w:pPr>
            <w:r>
              <w:drawing>
                <wp:inline xmlns:a="http://schemas.openxmlformats.org/drawingml/2006/main" xmlns:pic="http://schemas.openxmlformats.org/drawingml/2006/picture">
                  <wp:extent cx="1280160" cy="1278820"/>
                  <wp:docPr id="3" name="Picture 3"/>
                  <wp:cNvGraphicFramePr>
                    <a:graphicFrameLocks noChangeAspect="1"/>
                  </wp:cNvGraphicFramePr>
                  <a:graphic>
                    <a:graphicData uri="http://schemas.openxmlformats.org/drawingml/2006/picture">
                      <pic:pic>
                        <pic:nvPicPr>
                          <pic:cNvPr id="0" name="cst_initial_antenna.png"/>
                          <pic:cNvPicPr/>
                        </pic:nvPicPr>
                        <pic:blipFill>
                          <a:blip r:embed="rId10"/>
                          <a:stretch>
                            <a:fillRect/>
                          </a:stretch>
                        </pic:blipFill>
                        <pic:spPr>
                          <a:xfrm>
                            <a:off x="0" y="0"/>
                            <a:ext cx="1280160" cy="1278820"/>
                          </a:xfrm>
                          <a:prstGeom prst="rect"/>
                        </pic:spPr>
                      </pic:pic>
                    </a:graphicData>
                  </a:graphic>
                </wp:inline>
              </w:drawing>
            </w:r>
          </w:p>
        </w:tc>
        <w:tc>
          <w:tcPr>
            <w:tcW w:type="dxa" w:w="4320"/>
          </w:tcPr>
          <w:p>
            <w:pPr>
              <w:keepNext/>
              <w:spacing w:before="0" w:after="0"/>
              <w:jc w:val="center"/>
            </w:pPr>
            <w:r>
              <w:drawing>
                <wp:inline xmlns:a="http://schemas.openxmlformats.org/drawingml/2006/main" xmlns:pic="http://schemas.openxmlformats.org/drawingml/2006/picture">
                  <wp:extent cx="2743200" cy="1149794"/>
                  <wp:docPr id="4" name="Picture 4"/>
                  <wp:cNvGraphicFramePr>
                    <a:graphicFrameLocks noChangeAspect="1"/>
                  </wp:cNvGraphicFramePr>
                  <a:graphic>
                    <a:graphicData uri="http://schemas.openxmlformats.org/drawingml/2006/picture">
                      <pic:pic>
                        <pic:nvPicPr>
                          <pic:cNvPr id="0" name="cst_initial_ground_s11.png"/>
                          <pic:cNvPicPr/>
                        </pic:nvPicPr>
                        <pic:blipFill>
                          <a:blip r:embed="rId11"/>
                          <a:stretch>
                            <a:fillRect/>
                          </a:stretch>
                        </pic:blipFill>
                        <pic:spPr>
                          <a:xfrm>
                            <a:off x="0" y="0"/>
                            <a:ext cx="2743200" cy="1149794"/>
                          </a:xfrm>
                          <a:prstGeom prst="rect"/>
                        </pic:spPr>
                      </pic:pic>
                    </a:graphicData>
                  </a:graphic>
                </wp:inline>
              </w:drawing>
            </w:r>
          </w:p>
        </w:tc>
      </w:tr>
      <w:tr>
        <w:tc>
          <w:tcPr>
            <w:tcW w:type="dxa" w:w="4320"/>
          </w:tcPr>
          <w:p>
            <w:pPr>
              <w:keepNext/>
              <w:spacing w:before="0" w:after="0"/>
              <w:jc w:val="center"/>
            </w:pPr>
            <w:r>
              <w:rPr>
                <w:rFonts w:ascii="Times New Roman" w:hAnsi="Times New Roman" w:cs="Times New Roman"/>
                <w:sz w:val="17"/>
                <w:szCs w:val="17"/>
              </w:rPr>
              <w:t>(a)</w:t>
            </w:r>
          </w:p>
        </w:tc>
        <w:tc>
          <w:tcPr>
            <w:tcW w:type="dxa" w:w="4320"/>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2</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Initial antenna model: (a) initial CPW decagonal geometry (L</w:t>
      </w:r>
      <w:r>
        <w:rPr>
          <w:rFonts w:ascii="Times New Roman" w:hAnsi="Times New Roman" w:cs="Times New Roman"/>
          <w:sz w:val="18"/>
          <w:szCs w:val="18"/>
          <w:vertAlign w:val="subscript"/>
        </w:rPr>
        <w:t>g</w:t>
      </w:r>
      <w:r>
        <w:rPr>
          <w:rFonts w:ascii="Times New Roman" w:hAnsi="Times New Roman" w:cs="Times New Roman"/>
          <w:sz w:val="18"/>
          <w:szCs w:val="18"/>
        </w:rPr>
        <w:t xml:space="preserve"> = −20 mm), and (b) simulated baseline reflection coefficient |S</w:t>
      </w:r>
      <w:r>
        <w:rPr>
          <w:rFonts w:ascii="Times New Roman" w:hAnsi="Times New Roman" w:cs="Times New Roman"/>
          <w:sz w:val="18"/>
          <w:szCs w:val="18"/>
          <w:vertAlign w:val="subscript"/>
        </w:rPr>
        <w:t>11</w:t>
      </w:r>
      <w:r>
        <w:rPr>
          <w:rFonts w:ascii="Times New Roman" w:hAnsi="Times New Roman" w:cs="Times New Roman"/>
          <w:sz w:val="18"/>
          <w:szCs w:val="18"/>
        </w:rPr>
        <w:t>| showing poor matching across 2.1–15 GHz.</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4. Parametric Optimization of Ground Patch Length (L</w:t>
      </w:r>
      <w:r>
        <w:rPr>
          <w:rFonts w:ascii="Times New Roman" w:hAnsi="Times New Roman" w:cs="Times New Roman"/>
          <w:b/>
          <w:i/>
          <w:sz w:val="22"/>
          <w:szCs w:val="22"/>
          <w:vertAlign w:val="subscript"/>
        </w:rPr>
        <w:t>g</w:t>
      </w:r>
      <w:r>
        <w:rPr>
          <w:rFonts w:ascii="Times New Roman" w:hAnsi="Times New Roman" w:cs="Times New Roman"/>
          <w:b/>
          <w:i/>
          <w:sz w:val="22"/>
          <w:szCs w:val="22"/>
        </w:rPr>
        <w:t xml:space="preserve"> Sweep)</w:t>
      </w:r>
    </w:p>
    <w:p>
      <w:pPr>
        <w:spacing w:after="40" w:line="269" w:lineRule="auto"/>
        <w:jc w:val="both"/>
      </w:pPr>
      <w:r>
        <w:rPr>
          <w:rFonts w:ascii="Times New Roman" w:hAnsi="Times New Roman" w:cs="Times New Roman"/>
          <w:sz w:val="21"/>
          <w:szCs w:val="21"/>
        </w:rPr>
        <w:t>Ground length L</w:t>
      </w:r>
      <w:r>
        <w:rPr>
          <w:rFonts w:ascii="Times New Roman" w:hAnsi="Times New Roman" w:cs="Times New Roman"/>
          <w:sz w:val="21"/>
          <w:szCs w:val="21"/>
          <w:vertAlign w:val="subscript"/>
        </w:rPr>
        <w:t>g</w:t>
      </w:r>
      <w:r>
        <w:rPr>
          <w:rFonts w:ascii="Times New Roman" w:hAnsi="Times New Roman" w:cs="Times New Roman"/>
          <w:sz w:val="21"/>
          <w:szCs w:val="21"/>
        </w:rPr>
        <w:t xml:space="preserve"> was swept from y = −20 mm to y = −7 mm (10 steps, R = 15 mm). Narrowing gap p from 13.73 to 0.73 mm strengthens capacitive coupling, shifting the first resonance from 1.6 to 2.73 GHz and deepening it below −30 dB (Fig. 3(a)). Only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maintains |S</w:t>
      </w:r>
      <w:r>
        <w:rPr>
          <w:rFonts w:ascii="Times New Roman" w:hAnsi="Times New Roman" w:cs="Times New Roman"/>
          <w:sz w:val="21"/>
          <w:szCs w:val="21"/>
          <w:vertAlign w:val="subscript"/>
        </w:rPr>
        <w:t>11</w:t>
      </w:r>
      <w:r>
        <w:rPr>
          <w:rFonts w:ascii="Times New Roman" w:hAnsi="Times New Roman" w:cs="Times New Roman"/>
          <w:sz w:val="21"/>
          <w:szCs w:val="21"/>
        </w:rPr>
        <w:t>| ≤ −10 dB across the band, establishing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as optimal.</w:t>
      </w:r>
    </w:p>
    <w:p>
      <w:pPr>
        <w:pStyle w:val="Heading2"/>
        <w:keepNext/>
        <w:pageBreakBefore/>
        <w:spacing w:before="70" w:after="30"/>
        <w:rPr>
          <w:rFonts w:ascii="Times New Roman" w:hAnsi="Times New Roman" w:cs="Times New Roman"/>
          <w:sz w:val="22"/>
          <w:szCs w:val="22"/>
        </w:rPr>
      </w:pPr>
      <w:r>
        <w:rPr>
          <w:rFonts w:ascii="Times New Roman" w:hAnsi="Times New Roman" w:cs="Times New Roman"/>
          <w:b/>
          <w:i/>
          <w:sz w:val="22"/>
          <w:szCs w:val="22"/>
        </w:rPr>
        <w:t>5. Parametric Optimization of Radiating Patch Radius (R Sweep)</w:t>
      </w:r>
    </w:p>
    <w:p>
      <w:pPr>
        <w:spacing w:after="40" w:line="269" w:lineRule="auto"/>
        <w:jc w:val="both"/>
      </w:pPr>
      <w:r>
        <w:rPr>
          <w:rFonts w:ascii="Times New Roman" w:hAnsi="Times New Roman" w:cs="Times New Roman"/>
          <w:sz w:val="21"/>
          <w:szCs w:val="21"/>
        </w:rPr>
        <w:t>With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patch circumradius R was swept from 4 to 15 mm (13 values). For R = 4–8 mm, modes resonate above 6 GHz. Increasing R enlarges electrical volume, shifting the lower cutoff downward as f</w:t>
      </w:r>
      <w:r>
        <w:rPr>
          <w:rFonts w:ascii="Times New Roman" w:hAnsi="Times New Roman" w:cs="Times New Roman"/>
          <w:sz w:val="21"/>
          <w:szCs w:val="21"/>
          <w:vertAlign w:val="subscript"/>
        </w:rPr>
        <w:t>L</w:t>
      </w:r>
      <w:r>
        <w:rPr>
          <w:rFonts w:ascii="Times New Roman" w:hAnsi="Times New Roman" w:cs="Times New Roman"/>
          <w:sz w:val="21"/>
          <w:szCs w:val="21"/>
        </w:rPr>
        <w:t xml:space="preserve"> ≈ 7.2 / (L + r + p) [3], [4]. At R = 15 mm (Fig. 3(b)), multiple resonant modes coalesce into a continuous wideband across 2.1–15 GHz.</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320"/>
        <w:gridCol w:w="4320"/>
      </w:tblGrid>
      <w:tr>
        <w:tc>
          <w:tcPr>
            <w:tcW w:type="dxa" w:w="4320"/>
          </w:tcPr>
          <w:p>
            <w:pPr>
              <w:keepNext/>
              <w:spacing w:before="0" w:after="0"/>
              <w:jc w:val="center"/>
            </w:pPr>
            <w:r>
              <w:drawing>
                <wp:inline xmlns:a="http://schemas.openxmlformats.org/drawingml/2006/main" xmlns:pic="http://schemas.openxmlformats.org/drawingml/2006/picture">
                  <wp:extent cx="2103120" cy="881509"/>
                  <wp:docPr id="5" name="Picture 5"/>
                  <wp:cNvGraphicFramePr>
                    <a:graphicFrameLocks noChangeAspect="1"/>
                  </wp:cNvGraphicFramePr>
                  <a:graphic>
                    <a:graphicData uri="http://schemas.openxmlformats.org/drawingml/2006/picture">
                      <pic:pic>
                        <pic:nvPicPr>
                          <pic:cNvPr id="0" name="cst_single_Lg_sweep.png"/>
                          <pic:cNvPicPr/>
                        </pic:nvPicPr>
                        <pic:blipFill>
                          <a:blip r:embed="rId12"/>
                          <a:stretch>
                            <a:fillRect/>
                          </a:stretch>
                        </pic:blipFill>
                        <pic:spPr>
                          <a:xfrm>
                            <a:off x="0" y="0"/>
                            <a:ext cx="2103120" cy="881509"/>
                          </a:xfrm>
                          <a:prstGeom prst="rect"/>
                        </pic:spPr>
                      </pic:pic>
                    </a:graphicData>
                  </a:graphic>
                </wp:inline>
              </w:drawing>
            </w:r>
          </w:p>
        </w:tc>
        <w:tc>
          <w:tcPr>
            <w:tcW w:type="dxa" w:w="4320"/>
          </w:tcPr>
          <w:p>
            <w:pPr>
              <w:keepNext/>
              <w:spacing w:before="0" w:after="0"/>
              <w:jc w:val="center"/>
            </w:pPr>
            <w:r>
              <w:drawing>
                <wp:inline xmlns:a="http://schemas.openxmlformats.org/drawingml/2006/main" xmlns:pic="http://schemas.openxmlformats.org/drawingml/2006/picture">
                  <wp:extent cx="2103120" cy="881509"/>
                  <wp:docPr id="6" name="Picture 6"/>
                  <wp:cNvGraphicFramePr>
                    <a:graphicFrameLocks noChangeAspect="1"/>
                  </wp:cNvGraphicFramePr>
                  <a:graphic>
                    <a:graphicData uri="http://schemas.openxmlformats.org/drawingml/2006/picture">
                      <pic:pic>
                        <pic:nvPicPr>
                          <pic:cNvPr id="0" name="cst_single_R_sweep.png"/>
                          <pic:cNvPicPr/>
                        </pic:nvPicPr>
                        <pic:blipFill>
                          <a:blip r:embed="rId13"/>
                          <a:stretch>
                            <a:fillRect/>
                          </a:stretch>
                        </pic:blipFill>
                        <pic:spPr>
                          <a:xfrm>
                            <a:off x="0" y="0"/>
                            <a:ext cx="2103120" cy="881509"/>
                          </a:xfrm>
                          <a:prstGeom prst="rect"/>
                        </pic:spPr>
                      </pic:pic>
                    </a:graphicData>
                  </a:graphic>
                </wp:inline>
              </w:drawing>
            </w:r>
          </w:p>
        </w:tc>
      </w:tr>
      <w:tr>
        <w:tc>
          <w:tcPr>
            <w:tcW w:type="dxa" w:w="4320"/>
          </w:tcPr>
          <w:p>
            <w:pPr>
              <w:keepNext/>
              <w:spacing w:before="0" w:after="0"/>
              <w:jc w:val="center"/>
            </w:pPr>
            <w:r>
              <w:rPr>
                <w:rFonts w:ascii="Times New Roman" w:hAnsi="Times New Roman" w:cs="Times New Roman"/>
                <w:sz w:val="17"/>
                <w:szCs w:val="17"/>
              </w:rPr>
              <w:t>(a)</w:t>
            </w:r>
          </w:p>
        </w:tc>
        <w:tc>
          <w:tcPr>
            <w:tcW w:type="dxa" w:w="4320"/>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3</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Parametric sweeps: (a) simulated |S</w:t>
      </w:r>
      <w:r>
        <w:rPr>
          <w:rFonts w:ascii="Times New Roman" w:hAnsi="Times New Roman" w:cs="Times New Roman"/>
          <w:sz w:val="18"/>
          <w:szCs w:val="18"/>
          <w:vertAlign w:val="subscript"/>
        </w:rPr>
        <w:t>11</w:t>
      </w:r>
      <w:r>
        <w:rPr>
          <w:rFonts w:ascii="Times New Roman" w:hAnsi="Times New Roman" w:cs="Times New Roman"/>
          <w:sz w:val="18"/>
          <w:szCs w:val="18"/>
        </w:rPr>
        <w:t>| vs. ground edge L</w:t>
      </w:r>
      <w:r>
        <w:rPr>
          <w:rFonts w:ascii="Times New Roman" w:hAnsi="Times New Roman" w:cs="Times New Roman"/>
          <w:sz w:val="18"/>
          <w:szCs w:val="18"/>
          <w:vertAlign w:val="subscript"/>
        </w:rPr>
        <w:t>g</w:t>
      </w:r>
      <w:r>
        <w:rPr>
          <w:rFonts w:ascii="Times New Roman" w:hAnsi="Times New Roman" w:cs="Times New Roman"/>
          <w:sz w:val="18"/>
          <w:szCs w:val="18"/>
        </w:rPr>
        <w:t xml:space="preserve"> from y = −20 to −7 mm, and (b) simulated |S</w:t>
      </w:r>
      <w:r>
        <w:rPr>
          <w:rFonts w:ascii="Times New Roman" w:hAnsi="Times New Roman" w:cs="Times New Roman"/>
          <w:sz w:val="18"/>
          <w:szCs w:val="18"/>
          <w:vertAlign w:val="subscript"/>
        </w:rPr>
        <w:t>11</w:t>
      </w:r>
      <w:r>
        <w:rPr>
          <w:rFonts w:ascii="Times New Roman" w:hAnsi="Times New Roman" w:cs="Times New Roman"/>
          <w:sz w:val="18"/>
          <w:szCs w:val="18"/>
        </w:rPr>
        <w:t>| vs. patch radius R from 4 to 15 mm (optimal: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−7 mm).</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6. Optimized Monopole Antenna Performance</w:t>
      </w:r>
    </w:p>
    <w:p>
      <w:pPr>
        <w:spacing w:after="40" w:line="269" w:lineRule="auto"/>
        <w:jc w:val="both"/>
      </w:pPr>
      <w:r>
        <w:rPr>
          <w:rFonts w:ascii="Times New Roman" w:hAnsi="Times New Roman" w:cs="Times New Roman"/>
          <w:sz w:val="21"/>
          <w:szCs w:val="21"/>
        </w:rPr>
        <w:t>The optimized standalone antenna (R = 15 mm,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p = 0.73 mm, Fig. 4(a)) maintains |S</w:t>
      </w:r>
      <w:r>
        <w:rPr>
          <w:rFonts w:ascii="Times New Roman" w:hAnsi="Times New Roman" w:cs="Times New Roman"/>
          <w:sz w:val="21"/>
          <w:szCs w:val="21"/>
          <w:vertAlign w:val="subscript"/>
        </w:rPr>
        <w:t>11</w:t>
      </w:r>
      <w:r>
        <w:rPr>
          <w:rFonts w:ascii="Times New Roman" w:hAnsi="Times New Roman" w:cs="Times New Roman"/>
          <w:sz w:val="21"/>
          <w:szCs w:val="21"/>
        </w:rPr>
        <w:t>| ≤ −10 dB from 2.16 to 15.73 GHz (FBW = 151.7 %), fully covering 2.1 GHz to 15 GHz (Fig. 4(b)). Four distinct resonances occur at 2.73 GHz, 4.78 GHz, 9.23 GHz, 14.32 GHz, with a peak return loss of 32.65 dB at 2.73 GHz. Simulated IEEE gain is 2.9–4.9 dBi across 3.1–10.6 GHz (peak 5.09 dBi near 13.5 GHz).</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320"/>
        <w:gridCol w:w="4320"/>
      </w:tblGrid>
      <w:tr>
        <w:tc>
          <w:tcPr>
            <w:tcW w:type="dxa" w:w="4320"/>
          </w:tcPr>
          <w:p>
            <w:pPr>
              <w:keepNext/>
              <w:spacing w:before="0" w:after="0"/>
              <w:jc w:val="center"/>
            </w:pPr>
            <w:r>
              <w:drawing>
                <wp:inline xmlns:a="http://schemas.openxmlformats.org/drawingml/2006/main" xmlns:pic="http://schemas.openxmlformats.org/drawingml/2006/picture">
                  <wp:extent cx="1828800" cy="885982"/>
                  <wp:docPr id="7" name="Picture 7"/>
                  <wp:cNvGraphicFramePr>
                    <a:graphicFrameLocks noChangeAspect="1"/>
                  </wp:cNvGraphicFramePr>
                  <a:graphic>
                    <a:graphicData uri="http://schemas.openxmlformats.org/drawingml/2006/picture">
                      <pic:pic>
                        <pic:nvPicPr>
                          <pic:cNvPr id="0" name="cst_single_geometry.png"/>
                          <pic:cNvPicPr/>
                        </pic:nvPicPr>
                        <pic:blipFill>
                          <a:blip r:embed="rId14"/>
                          <a:stretch>
                            <a:fillRect/>
                          </a:stretch>
                        </pic:blipFill>
                        <pic:spPr>
                          <a:xfrm>
                            <a:off x="0" y="0"/>
                            <a:ext cx="1828800" cy="885982"/>
                          </a:xfrm>
                          <a:prstGeom prst="rect"/>
                        </pic:spPr>
                      </pic:pic>
                    </a:graphicData>
                  </a:graphic>
                </wp:inline>
              </w:drawing>
            </w:r>
          </w:p>
        </w:tc>
        <w:tc>
          <w:tcPr>
            <w:tcW w:type="dxa" w:w="4320"/>
          </w:tcPr>
          <w:p>
            <w:pPr>
              <w:keepNext/>
              <w:spacing w:before="0" w:after="0"/>
              <w:jc w:val="center"/>
            </w:pPr>
            <w:r>
              <w:drawing>
                <wp:inline xmlns:a="http://schemas.openxmlformats.org/drawingml/2006/main" xmlns:pic="http://schemas.openxmlformats.org/drawingml/2006/picture">
                  <wp:extent cx="2103120" cy="881509"/>
                  <wp:docPr id="8" name="Picture 8"/>
                  <wp:cNvGraphicFramePr>
                    <a:graphicFrameLocks noChangeAspect="1"/>
                  </wp:cNvGraphicFramePr>
                  <a:graphic>
                    <a:graphicData uri="http://schemas.openxmlformats.org/drawingml/2006/picture">
                      <pic:pic>
                        <pic:nvPicPr>
                          <pic:cNvPr id="0" name="cst_single_final_s11_markers.png"/>
                          <pic:cNvPicPr/>
                        </pic:nvPicPr>
                        <pic:blipFill>
                          <a:blip r:embed="rId15"/>
                          <a:stretch>
                            <a:fillRect/>
                          </a:stretch>
                        </pic:blipFill>
                        <pic:spPr>
                          <a:xfrm>
                            <a:off x="0" y="0"/>
                            <a:ext cx="2103120" cy="881509"/>
                          </a:xfrm>
                          <a:prstGeom prst="rect"/>
                        </pic:spPr>
                      </pic:pic>
                    </a:graphicData>
                  </a:graphic>
                </wp:inline>
              </w:drawing>
            </w:r>
          </w:p>
        </w:tc>
      </w:tr>
      <w:tr>
        <w:tc>
          <w:tcPr>
            <w:tcW w:type="dxa" w:w="4320"/>
          </w:tcPr>
          <w:p>
            <w:pPr>
              <w:keepNext/>
              <w:spacing w:before="0" w:after="0"/>
              <w:jc w:val="center"/>
            </w:pPr>
            <w:r>
              <w:rPr>
                <w:rFonts w:ascii="Times New Roman" w:hAnsi="Times New Roman" w:cs="Times New Roman"/>
                <w:sz w:val="17"/>
                <w:szCs w:val="17"/>
              </w:rPr>
              <w:t>(a)</w:t>
            </w:r>
          </w:p>
        </w:tc>
        <w:tc>
          <w:tcPr>
            <w:tcW w:type="dxa" w:w="4320"/>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4</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Optimized decagonal monopole: (a) simulation model geometry with waveguide port, and (b) simulated reflection coefficient |S</w:t>
      </w:r>
      <w:r>
        <w:rPr>
          <w:rFonts w:ascii="Times New Roman" w:hAnsi="Times New Roman" w:cs="Times New Roman"/>
          <w:sz w:val="18"/>
          <w:szCs w:val="18"/>
          <w:vertAlign w:val="subscript"/>
        </w:rPr>
        <w:t>11</w:t>
      </w:r>
      <w:r>
        <w:rPr>
          <w:rFonts w:ascii="Times New Roman" w:hAnsi="Times New Roman" w:cs="Times New Roman"/>
          <w:sz w:val="18"/>
          <w:szCs w:val="18"/>
        </w:rPr>
        <w:t>| of the optimized antenna with resonance markers over the 2.16–15.73 GHz operating band.</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7. Metamaterial (Metasurface) Integration and S</w:t>
      </w:r>
      <w:r>
        <w:rPr>
          <w:rFonts w:ascii="Times New Roman" w:hAnsi="Times New Roman" w:cs="Times New Roman"/>
          <w:b/>
          <w:i/>
          <w:sz w:val="22"/>
          <w:szCs w:val="22"/>
          <w:vertAlign w:val="subscript"/>
        </w:rPr>
        <w:t>11</w:t>
      </w:r>
      <w:r>
        <w:rPr>
          <w:rFonts w:ascii="Times New Roman" w:hAnsi="Times New Roman" w:cs="Times New Roman"/>
          <w:b/>
          <w:i/>
          <w:sz w:val="22"/>
          <w:szCs w:val="22"/>
        </w:rPr>
        <w:t xml:space="preserve"> Analysis</w:t>
      </w:r>
    </w:p>
    <w:p>
      <w:pPr>
        <w:spacing w:after="40" w:line="269" w:lineRule="auto"/>
        <w:jc w:val="both"/>
      </w:pPr>
      <w:r>
        <w:rPr>
          <w:rFonts w:ascii="Times New Roman" w:hAnsi="Times New Roman" w:cs="Times New Roman"/>
          <w:sz w:val="21"/>
          <w:szCs w:val="21"/>
        </w:rPr>
        <w:t>A 6 × 5 double-SRR metasurface on copper-backed 1.6 mm FR-4 is positioned at an air gap of 3.9 mm behind the antenna (Fig. 5(a)). While a conventional metal plate at this sub-4 mm spacing causes destructive phase cancellation below 9.6 GHz, the AMC metasurface provides in-phase reflection (φ</w:t>
      </w:r>
      <w:r>
        <w:rPr>
          <w:rFonts w:ascii="Times New Roman" w:hAnsi="Times New Roman" w:cs="Times New Roman"/>
          <w:sz w:val="21"/>
          <w:szCs w:val="21"/>
          <w:vertAlign w:val="subscript"/>
        </w:rPr>
        <w:t>R</w:t>
      </w:r>
      <w:r>
        <w:rPr>
          <w:rFonts w:ascii="Times New Roman" w:hAnsi="Times New Roman" w:cs="Times New Roman"/>
          <w:sz w:val="21"/>
          <w:szCs w:val="21"/>
        </w:rPr>
        <w:t xml:space="preserve"> − 2k</w:t>
      </w:r>
      <w:r>
        <w:rPr>
          <w:rFonts w:ascii="Times New Roman" w:hAnsi="Times New Roman" w:cs="Times New Roman"/>
          <w:sz w:val="21"/>
          <w:szCs w:val="21"/>
          <w:vertAlign w:val="subscript"/>
        </w:rPr>
        <w:t>0</w:t>
      </w:r>
      <w:r>
        <w:rPr>
          <w:rFonts w:ascii="Times New Roman" w:hAnsi="Times New Roman" w:cs="Times New Roman"/>
          <w:sz w:val="21"/>
          <w:szCs w:val="21"/>
        </w:rPr>
        <w:t>h ≈ 0). Full-wave CST simulations verify that near-field metasurface loading preserves |S</w:t>
      </w:r>
      <w:r>
        <w:rPr>
          <w:rFonts w:ascii="Times New Roman" w:hAnsi="Times New Roman" w:cs="Times New Roman"/>
          <w:sz w:val="21"/>
          <w:szCs w:val="21"/>
          <w:vertAlign w:val="subscript"/>
        </w:rPr>
        <w:t>11</w:t>
      </w:r>
      <w:r>
        <w:rPr>
          <w:rFonts w:ascii="Times New Roman" w:hAnsi="Times New Roman" w:cs="Times New Roman"/>
          <w:sz w:val="21"/>
          <w:szCs w:val="21"/>
        </w:rPr>
        <w:t>| ≤ −10 dB across the operating band while substantially enhancing forward broadside gain (Fig. 5(b)).</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320"/>
        <w:gridCol w:w="4320"/>
      </w:tblGrid>
      <w:tr>
        <w:tc>
          <w:tcPr>
            <w:tcW w:type="dxa" w:w="4320"/>
          </w:tcPr>
          <w:p>
            <w:pPr>
              <w:keepNext/>
              <w:spacing w:before="0" w:after="0"/>
              <w:jc w:val="center"/>
            </w:pPr>
            <w:r>
              <w:drawing>
                <wp:inline xmlns:a="http://schemas.openxmlformats.org/drawingml/2006/main" xmlns:pic="http://schemas.openxmlformats.org/drawingml/2006/picture">
                  <wp:extent cx="1737360" cy="907193"/>
                  <wp:docPr id="9" name="Picture 9"/>
                  <wp:cNvGraphicFramePr>
                    <a:graphicFrameLocks noChangeAspect="1"/>
                  </wp:cNvGraphicFramePr>
                  <a:graphic>
                    <a:graphicData uri="http://schemas.openxmlformats.org/drawingml/2006/picture">
                      <pic:pic>
                        <pic:nvPicPr>
                          <pic:cNvPr id="0" name="cst_ms_array.png"/>
                          <pic:cNvPicPr/>
                        </pic:nvPicPr>
                        <pic:blipFill>
                          <a:blip r:embed="rId16"/>
                          <a:stretch>
                            <a:fillRect/>
                          </a:stretch>
                        </pic:blipFill>
                        <pic:spPr>
                          <a:xfrm>
                            <a:off x="0" y="0"/>
                            <a:ext cx="1737360" cy="907193"/>
                          </a:xfrm>
                          <a:prstGeom prst="rect"/>
                        </pic:spPr>
                      </pic:pic>
                    </a:graphicData>
                  </a:graphic>
                </wp:inline>
              </w:drawing>
            </w:r>
          </w:p>
        </w:tc>
        <w:tc>
          <w:tcPr>
            <w:tcW w:type="dxa" w:w="4320"/>
          </w:tcPr>
          <w:p>
            <w:pPr>
              <w:keepNext/>
              <w:spacing w:before="0" w:after="0"/>
              <w:jc w:val="center"/>
            </w:pPr>
            <w:r>
              <w:drawing>
                <wp:inline xmlns:a="http://schemas.openxmlformats.org/drawingml/2006/main" xmlns:pic="http://schemas.openxmlformats.org/drawingml/2006/picture">
                  <wp:extent cx="2103120" cy="881509"/>
                  <wp:docPr id="10" name="Picture 10"/>
                  <wp:cNvGraphicFramePr>
                    <a:graphicFrameLocks noChangeAspect="1"/>
                  </wp:cNvGraphicFramePr>
                  <a:graphic>
                    <a:graphicData uri="http://schemas.openxmlformats.org/drawingml/2006/picture">
                      <pic:pic>
                        <pic:nvPicPr>
                          <pic:cNvPr id="0" name="cst_single_final_gain_ieee.png"/>
                          <pic:cNvPicPr/>
                        </pic:nvPicPr>
                        <pic:blipFill>
                          <a:blip r:embed="rId17"/>
                          <a:stretch>
                            <a:fillRect/>
                          </a:stretch>
                        </pic:blipFill>
                        <pic:spPr>
                          <a:xfrm>
                            <a:off x="0" y="0"/>
                            <a:ext cx="2103120" cy="881509"/>
                          </a:xfrm>
                          <a:prstGeom prst="rect"/>
                        </pic:spPr>
                      </pic:pic>
                    </a:graphicData>
                  </a:graphic>
                </wp:inline>
              </w:drawing>
            </w:r>
          </w:p>
        </w:tc>
      </w:tr>
      <w:tr>
        <w:tc>
          <w:tcPr>
            <w:tcW w:type="dxa" w:w="4320"/>
          </w:tcPr>
          <w:p>
            <w:pPr>
              <w:keepNext/>
              <w:spacing w:before="0" w:after="0"/>
              <w:jc w:val="center"/>
            </w:pPr>
            <w:r>
              <w:rPr>
                <w:rFonts w:ascii="Times New Roman" w:hAnsi="Times New Roman" w:cs="Times New Roman"/>
                <w:sz w:val="17"/>
                <w:szCs w:val="17"/>
              </w:rPr>
              <w:t>(a)</w:t>
            </w:r>
          </w:p>
        </w:tc>
        <w:tc>
          <w:tcPr>
            <w:tcW w:type="dxa" w:w="4320"/>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5</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Metasurface integration: (a) CST model of the 6 × 5 double-SRR metasurface array reflector, and (b) simulated standalone antenna IEEE gain across frequency (2.9–4.9 dBi over 3.1–10.6 GHz, providing the baseline for metasurface gain enhancement).</w:t>
      </w:r>
    </w:p>
    <w:p w:rsidR="00AD6F9A" w:rsidRPr="000E5FC4" w:rsidRDefault="001F4042">
      <w:pPr>
        <w:pStyle w:val="Heading1"/>
        <w:pageBreakBefore/>
        <w:rPr>
          <w:rFonts w:ascii="Times New Roman" w:hAnsi="Times New Roman" w:cs="Times New Roman"/>
          <w:sz w:val="24"/>
          <w:szCs w:val="24"/>
        </w:rPr>
      </w:pPr>
      <w:r w:rsidRPr="000E5FC4">
        <w:rPr>
          <w:rFonts w:ascii="Times New Roman" w:hAnsi="Times New Roman" w:cs="Times New Roman"/>
          <w:sz w:val="24"/>
          <w:szCs w:val="24"/>
        </w:rPr>
        <w:lastRenderedPageBreak/>
        <w:t>Work Done Till Mid-Semester</w:t>
      </w:r>
    </w:p>
    <w:p>
      <w:pPr>
        <w:spacing w:after="40" w:line="269" w:lineRule="auto"/>
        <w:jc w:val="both"/>
      </w:pPr>
      <w:r>
        <w:rPr>
          <w:rFonts w:ascii="Times New Roman" w:hAnsi="Times New Roman" w:cs="Times New Roman"/>
          <w:sz w:val="21"/>
          <w:szCs w:val="21"/>
        </w:rPr>
        <w:t>During Phase I, the single-element CPW decagonal monopole antenna was designed, optimized through parametric sweeps, and finalized in CST Studio Suite 2019. The 6 × 5 double-SRR metasurface array was modeled and its loaded S</w:t>
      </w:r>
      <w:r>
        <w:rPr>
          <w:rFonts w:ascii="Times New Roman" w:hAnsi="Times New Roman" w:cs="Times New Roman"/>
          <w:sz w:val="21"/>
          <w:szCs w:val="21"/>
          <w:vertAlign w:val="subscript"/>
        </w:rPr>
        <w:t>11</w:t>
      </w:r>
      <w:r>
        <w:rPr>
          <w:rFonts w:ascii="Times New Roman" w:hAnsi="Times New Roman" w:cs="Times New Roman"/>
          <w:sz w:val="21"/>
          <w:szCs w:val="21"/>
        </w:rPr>
        <w:t xml:space="preserve"> performance evaluated.</w:t>
      </w:r>
    </w:p>
    <w:p>
      <w:pPr>
        <w:keepNext/>
        <w:spacing w:before="20" w:after="40"/>
        <w:jc w:val="center"/>
      </w:pPr>
      <w:r>
        <w:rPr>
          <w:rFonts w:ascii="Times New Roman" w:hAnsi="Times New Roman" w:cs="Times New Roman"/>
          <w:b/>
          <w:sz w:val="18"/>
          <w:szCs w:val="18"/>
        </w:rPr>
        <w:t xml:space="preserve">Table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Table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2</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Simulated performance summary of the optimized antenna (standalone).</w:t>
      </w:r>
    </w:p>
    <w:tbl>
      <w:tblPr>
        <w:tblStyle w:val="TableGrid"/>
        <w:tblW w:type="auto" w:w="0"/>
        <w:jc w:val="center"/>
        <w:tblLayout w:type="fixed"/>
        <w:tblLook w:firstColumn="1" w:firstRow="1" w:lastColumn="0" w:lastRow="0" w:noHBand="0" w:noVBand="1" w:val="04A0"/>
      </w:tblPr>
      <w:tblGrid>
        <w:gridCol w:w="2592"/>
        <w:gridCol w:w="2304"/>
        <w:gridCol w:w="2016"/>
        <w:gridCol w:w="1728"/>
      </w:tblGrid>
      <w:tr>
        <w:trPr>
          <w:tblHeader/>
        </w:trPr>
        <w:tc>
          <w:tcPr>
            <w:tcW w:type="dxa" w:w="2592"/>
            <w:vAlign w:val="center"/>
            <w:shd w:val="clear" w:color="auto" w:fill="D9D9D9"/>
          </w:tcPr>
          <w:p>
            <w:pPr>
              <w:spacing w:after="0" w:line="240" w:lineRule="auto"/>
              <w:jc w:val="left"/>
            </w:pPr>
            <w:r>
              <w:rPr>
                <w:rFonts w:ascii="Times New Roman" w:hAnsi="Times New Roman" w:cs="Times New Roman"/>
                <w:b/>
                <w:sz w:val="16"/>
                <w:szCs w:val="16"/>
              </w:rPr>
              <w:t>Parameter</w:t>
            </w:r>
          </w:p>
        </w:tc>
        <w:tc>
          <w:tcPr>
            <w:tcW w:type="dxa" w:w="2304"/>
            <w:vAlign w:val="center"/>
            <w:shd w:val="clear" w:color="auto" w:fill="D9D9D9"/>
          </w:tcPr>
          <w:p>
            <w:pPr>
              <w:spacing w:after="0" w:line="240" w:lineRule="auto"/>
              <w:jc w:val="center"/>
            </w:pPr>
            <w:r>
              <w:rPr>
                <w:rFonts w:ascii="Times New Roman" w:hAnsi="Times New Roman" w:cs="Times New Roman"/>
                <w:b/>
                <w:sz w:val="16"/>
                <w:szCs w:val="16"/>
              </w:rPr>
              <w:t>Simulated Value</w:t>
            </w:r>
          </w:p>
        </w:tc>
        <w:tc>
          <w:tcPr>
            <w:tcW w:type="dxa" w:w="2016"/>
            <w:vAlign w:val="center"/>
            <w:shd w:val="clear" w:color="auto" w:fill="D9D9D9"/>
          </w:tcPr>
          <w:p>
            <w:pPr>
              <w:spacing w:after="0" w:line="240" w:lineRule="auto"/>
              <w:jc w:val="center"/>
            </w:pPr>
            <w:r>
              <w:rPr>
                <w:rFonts w:ascii="Times New Roman" w:hAnsi="Times New Roman" w:cs="Times New Roman"/>
                <w:b/>
                <w:sz w:val="16"/>
                <w:szCs w:val="16"/>
              </w:rPr>
              <w:t>Project Specification</w:t>
            </w:r>
          </w:p>
        </w:tc>
        <w:tc>
          <w:tcPr>
            <w:tcW w:type="dxa" w:w="1728"/>
            <w:vAlign w:val="center"/>
            <w:shd w:val="clear" w:color="auto" w:fill="D9D9D9"/>
          </w:tcPr>
          <w:p>
            <w:pPr>
              <w:spacing w:after="0" w:line="240" w:lineRule="auto"/>
              <w:jc w:val="center"/>
            </w:pPr>
            <w:r>
              <w:rPr>
                <w:rFonts w:ascii="Times New Roman" w:hAnsi="Times New Roman" w:cs="Times New Roman"/>
                <w:b/>
                <w:sz w:val="16"/>
                <w:szCs w:val="16"/>
              </w:rPr>
              <w:t>Compliance</w:t>
            </w:r>
          </w:p>
        </w:tc>
      </w:tr>
      <w:tr>
        <w:tc>
          <w:tcPr>
            <w:tcW w:type="dxa" w:w="2592"/>
            <w:vAlign w:val="center"/>
          </w:tcPr>
          <w:p>
            <w:pPr>
              <w:spacing w:after="0" w:line="240" w:lineRule="auto"/>
              <w:jc w:val="left"/>
            </w:pPr>
            <w:r>
              <w:rPr>
                <w:rFonts w:ascii="Times New Roman" w:hAnsi="Times New Roman" w:cs="Times New Roman"/>
                <w:sz w:val="16"/>
                <w:szCs w:val="16"/>
              </w:rPr>
              <w:t>Impedance Bandwidth (|S</w:t>
            </w:r>
            <w:r>
              <w:rPr>
                <w:rFonts w:ascii="Times New Roman" w:hAnsi="Times New Roman" w:cs="Times New Roman"/>
                <w:sz w:val="16"/>
                <w:szCs w:val="16"/>
                <w:vertAlign w:val="subscript"/>
              </w:rPr>
              <w:t>11</w:t>
            </w:r>
            <w:r>
              <w:rPr>
                <w:rFonts w:ascii="Times New Roman" w:hAnsi="Times New Roman" w:cs="Times New Roman"/>
                <w:sz w:val="16"/>
                <w:szCs w:val="16"/>
              </w:rPr>
              <w:t>| ≤ −10 dB)</w:t>
            </w:r>
          </w:p>
        </w:tc>
        <w:tc>
          <w:tcPr>
            <w:tcW w:type="dxa" w:w="2304"/>
            <w:vAlign w:val="center"/>
          </w:tcPr>
          <w:p>
            <w:pPr>
              <w:spacing w:after="0" w:line="240" w:lineRule="auto"/>
              <w:jc w:val="center"/>
            </w:pPr>
            <w:r>
              <w:rPr>
                <w:rFonts w:ascii="Times New Roman" w:hAnsi="Times New Roman" w:cs="Times New Roman"/>
                <w:sz w:val="16"/>
                <w:szCs w:val="16"/>
              </w:rPr>
              <w:t>2.16–15.73 GHz</w:t>
            </w:r>
          </w:p>
        </w:tc>
        <w:tc>
          <w:tcPr>
            <w:tcW w:type="dxa" w:w="2016"/>
            <w:vAlign w:val="center"/>
          </w:tcPr>
          <w:p>
            <w:pPr>
              <w:spacing w:after="0" w:line="240" w:lineRule="auto"/>
              <w:jc w:val="center"/>
            </w:pPr>
            <w:r>
              <w:rPr>
                <w:rFonts w:ascii="Times New Roman" w:hAnsi="Times New Roman" w:cs="Times New Roman"/>
                <w:sz w:val="16"/>
                <w:szCs w:val="16"/>
              </w:rPr>
              <w:t>2.1–15 GHz wideband</w:t>
            </w:r>
          </w:p>
        </w:tc>
        <w:tc>
          <w:tcPr>
            <w:tcW w:type="dxa" w:w="1728"/>
            <w:vAlign w:val="center"/>
          </w:tcPr>
          <w:p>
            <w:pPr>
              <w:spacing w:after="0" w:line="240" w:lineRule="auto"/>
              <w:jc w:val="center"/>
            </w:pPr>
            <w:r>
              <w:rPr>
                <w:rFonts w:ascii="Times New Roman" w:hAnsi="Times New Roman" w:cs="Times New Roman"/>
                <w:sz w:val="16"/>
                <w:szCs w:val="16"/>
              </w:rPr>
              <w:t>Exceeds</w:t>
            </w:r>
          </w:p>
        </w:tc>
      </w:tr>
      <w:tr>
        <w:tc>
          <w:tcPr>
            <w:tcW w:type="dxa" w:w="2592"/>
            <w:vAlign w:val="center"/>
          </w:tcPr>
          <w:p>
            <w:pPr>
              <w:spacing w:after="0" w:line="240" w:lineRule="auto"/>
              <w:jc w:val="left"/>
            </w:pPr>
            <w:r>
              <w:rPr>
                <w:rFonts w:ascii="Times New Roman" w:hAnsi="Times New Roman" w:cs="Times New Roman"/>
                <w:sz w:val="16"/>
                <w:szCs w:val="16"/>
              </w:rPr>
              <w:t>Fractional Bandwidth (FBW)</w:t>
            </w:r>
          </w:p>
        </w:tc>
        <w:tc>
          <w:tcPr>
            <w:tcW w:type="dxa" w:w="2304"/>
            <w:vAlign w:val="center"/>
          </w:tcPr>
          <w:p>
            <w:pPr>
              <w:spacing w:after="0" w:line="240" w:lineRule="auto"/>
              <w:jc w:val="center"/>
            </w:pPr>
            <w:r>
              <w:rPr>
                <w:rFonts w:ascii="Times New Roman" w:hAnsi="Times New Roman" w:cs="Times New Roman"/>
                <w:sz w:val="16"/>
                <w:szCs w:val="16"/>
              </w:rPr>
              <w:t>151.7 %</w:t>
            </w:r>
          </w:p>
        </w:tc>
        <w:tc>
          <w:tcPr>
            <w:tcW w:type="dxa" w:w="2016"/>
            <w:vAlign w:val="center"/>
          </w:tcPr>
          <w:p>
            <w:pPr>
              <w:spacing w:after="0" w:line="240" w:lineRule="auto"/>
              <w:jc w:val="center"/>
            </w:pPr>
            <w:r>
              <w:rPr>
                <w:rFonts w:ascii="Times New Roman" w:hAnsi="Times New Roman" w:cs="Times New Roman"/>
                <w:sz w:val="16"/>
                <w:szCs w:val="16"/>
              </w:rPr>
              <w:t>≥ 109 %</w:t>
            </w:r>
          </w:p>
        </w:tc>
        <w:tc>
          <w:tcPr>
            <w:tcW w:type="dxa" w:w="1728"/>
            <w:vAlign w:val="center"/>
          </w:tcPr>
          <w:p>
            <w:pPr>
              <w:spacing w:after="0" w:line="240" w:lineRule="auto"/>
              <w:jc w:val="center"/>
            </w:pPr>
            <w:r>
              <w:rPr>
                <w:rFonts w:ascii="Times New Roman" w:hAnsi="Times New Roman" w:cs="Times New Roman"/>
                <w:sz w:val="16"/>
                <w:szCs w:val="16"/>
              </w:rPr>
              <w:t>Exceeds</w:t>
            </w:r>
          </w:p>
        </w:tc>
      </w:tr>
      <w:tr>
        <w:tc>
          <w:tcPr>
            <w:tcW w:type="dxa" w:w="2592"/>
            <w:vAlign w:val="center"/>
          </w:tcPr>
          <w:p>
            <w:pPr>
              <w:spacing w:after="0" w:line="240" w:lineRule="auto"/>
              <w:jc w:val="left"/>
            </w:pPr>
            <w:r>
              <w:rPr>
                <w:rFonts w:ascii="Times New Roman" w:hAnsi="Times New Roman" w:cs="Times New Roman"/>
                <w:sz w:val="16"/>
                <w:szCs w:val="16"/>
              </w:rPr>
              <w:t>Resonances</w:t>
            </w:r>
          </w:p>
        </w:tc>
        <w:tc>
          <w:tcPr>
            <w:tcW w:type="dxa" w:w="2304"/>
            <w:vAlign w:val="center"/>
          </w:tcPr>
          <w:p>
            <w:pPr>
              <w:spacing w:after="0" w:line="240" w:lineRule="auto"/>
              <w:jc w:val="center"/>
            </w:pPr>
            <w:r>
              <w:rPr>
                <w:rFonts w:ascii="Times New Roman" w:hAnsi="Times New Roman" w:cs="Times New Roman"/>
                <w:sz w:val="16"/>
                <w:szCs w:val="16"/>
              </w:rPr>
              <w:t>2.73, 4.78, 9.23, 14.32 GHz</w:t>
            </w:r>
          </w:p>
        </w:tc>
        <w:tc>
          <w:tcPr>
            <w:tcW w:type="dxa" w:w="2016"/>
            <w:vAlign w:val="center"/>
          </w:tcPr>
          <w:p>
            <w:pPr>
              <w:spacing w:after="0" w:line="240" w:lineRule="auto"/>
              <w:jc w:val="center"/>
            </w:pPr>
            <w:r>
              <w:rPr>
                <w:rFonts w:ascii="Times New Roman" w:hAnsi="Times New Roman" w:cs="Times New Roman"/>
                <w:sz w:val="16"/>
                <w:szCs w:val="16"/>
              </w:rPr>
              <w:t>Wideband multi-mode</w:t>
            </w:r>
          </w:p>
        </w:tc>
        <w:tc>
          <w:tcPr>
            <w:tcW w:type="dxa" w:w="1728"/>
            <w:vAlign w:val="center"/>
          </w:tcPr>
          <w:p>
            <w:pPr>
              <w:spacing w:after="0" w:line="240" w:lineRule="auto"/>
              <w:jc w:val="center"/>
            </w:pPr>
            <w:r>
              <w:rPr>
                <w:rFonts w:ascii="Times New Roman" w:hAnsi="Times New Roman" w:cs="Times New Roman"/>
                <w:sz w:val="16"/>
                <w:szCs w:val="16"/>
              </w:rPr>
              <w:t>Achieved (4 resonances)</w:t>
            </w:r>
          </w:p>
        </w:tc>
      </w:tr>
      <w:tr>
        <w:tc>
          <w:tcPr>
            <w:tcW w:type="dxa" w:w="2592"/>
            <w:vAlign w:val="center"/>
          </w:tcPr>
          <w:p>
            <w:pPr>
              <w:spacing w:after="0" w:line="240" w:lineRule="auto"/>
              <w:jc w:val="left"/>
            </w:pPr>
            <w:r>
              <w:rPr>
                <w:rFonts w:ascii="Times New Roman" w:hAnsi="Times New Roman" w:cs="Times New Roman"/>
                <w:sz w:val="16"/>
                <w:szCs w:val="16"/>
              </w:rPr>
              <w:t>Deepest Return Loss</w:t>
            </w:r>
          </w:p>
        </w:tc>
        <w:tc>
          <w:tcPr>
            <w:tcW w:type="dxa" w:w="2304"/>
            <w:vAlign w:val="center"/>
          </w:tcPr>
          <w:p>
            <w:pPr>
              <w:spacing w:after="0" w:line="240" w:lineRule="auto"/>
              <w:jc w:val="center"/>
            </w:pPr>
            <w:r>
              <w:rPr>
                <w:rFonts w:ascii="Times New Roman" w:hAnsi="Times New Roman" w:cs="Times New Roman"/>
                <w:sz w:val="16"/>
                <w:szCs w:val="16"/>
              </w:rPr>
              <w:t>32.65 dB (at 2.73 GHz)</w:t>
            </w:r>
          </w:p>
        </w:tc>
        <w:tc>
          <w:tcPr>
            <w:tcW w:type="dxa" w:w="2016"/>
            <w:vAlign w:val="center"/>
          </w:tcPr>
          <w:p>
            <w:pPr>
              <w:spacing w:after="0" w:line="240" w:lineRule="auto"/>
              <w:jc w:val="center"/>
            </w:pPr>
            <w:r>
              <w:rPr>
                <w:rFonts w:ascii="Times New Roman" w:hAnsi="Times New Roman" w:cs="Times New Roman"/>
                <w:sz w:val="16"/>
                <w:szCs w:val="16"/>
              </w:rPr>
              <w:t>≥ 10 dB</w:t>
            </w:r>
          </w:p>
        </w:tc>
        <w:tc>
          <w:tcPr>
            <w:tcW w:type="dxa" w:w="1728"/>
            <w:vAlign w:val="center"/>
          </w:tcPr>
          <w:p>
            <w:pPr>
              <w:spacing w:after="0" w:line="240" w:lineRule="auto"/>
              <w:jc w:val="center"/>
            </w:pPr>
            <w:r>
              <w:rPr>
                <w:rFonts w:ascii="Times New Roman" w:hAnsi="Times New Roman" w:cs="Times New Roman"/>
                <w:sz w:val="16"/>
                <w:szCs w:val="16"/>
              </w:rPr>
              <w:t>Exceeds</w:t>
            </w:r>
          </w:p>
        </w:tc>
      </w:tr>
      <w:tr>
        <w:tc>
          <w:tcPr>
            <w:tcW w:type="dxa" w:w="2592"/>
            <w:vAlign w:val="center"/>
          </w:tcPr>
          <w:p>
            <w:pPr>
              <w:spacing w:after="0" w:line="240" w:lineRule="auto"/>
              <w:jc w:val="left"/>
            </w:pPr>
            <w:r>
              <w:rPr>
                <w:rFonts w:ascii="Times New Roman" w:hAnsi="Times New Roman" w:cs="Times New Roman"/>
                <w:sz w:val="16"/>
                <w:szCs w:val="16"/>
              </w:rPr>
              <w:t>IEEE Gain, 3.1–10.6 GHz</w:t>
            </w:r>
          </w:p>
        </w:tc>
        <w:tc>
          <w:tcPr>
            <w:tcW w:type="dxa" w:w="2304"/>
            <w:vAlign w:val="center"/>
          </w:tcPr>
          <w:p>
            <w:pPr>
              <w:spacing w:after="0" w:line="240" w:lineRule="auto"/>
              <w:jc w:val="center"/>
            </w:pPr>
            <w:r>
              <w:rPr>
                <w:rFonts w:ascii="Times New Roman" w:hAnsi="Times New Roman" w:cs="Times New Roman"/>
                <w:sz w:val="16"/>
                <w:szCs w:val="16"/>
              </w:rPr>
              <w:t>2.9 to 4.9 dBi (peak 5.09 dBi)</w:t>
            </w:r>
          </w:p>
        </w:tc>
        <w:tc>
          <w:tcPr>
            <w:tcW w:type="dxa" w:w="2016"/>
            <w:vAlign w:val="center"/>
          </w:tcPr>
          <w:p>
            <w:pPr>
              <w:spacing w:after="0" w:line="240" w:lineRule="auto"/>
              <w:jc w:val="center"/>
            </w:pPr>
            <w:r>
              <w:rPr>
                <w:rFonts w:ascii="Times New Roman" w:hAnsi="Times New Roman" w:cs="Times New Roman"/>
                <w:sz w:val="16"/>
                <w:szCs w:val="16"/>
              </w:rPr>
              <w:t>Baseline for AMC enhancement</w:t>
            </w:r>
          </w:p>
        </w:tc>
        <w:tc>
          <w:tcPr>
            <w:tcW w:type="dxa" w:w="1728"/>
            <w:vAlign w:val="center"/>
          </w:tcPr>
          <w:p>
            <w:pPr>
              <w:spacing w:after="0" w:line="240" w:lineRule="auto"/>
              <w:jc w:val="center"/>
            </w:pPr>
            <w:r>
              <w:rPr>
                <w:rFonts w:ascii="Times New Roman" w:hAnsi="Times New Roman" w:cs="Times New Roman"/>
                <w:sz w:val="16"/>
                <w:szCs w:val="16"/>
              </w:rPr>
              <w:t>Achieved</w:t>
            </w:r>
          </w:p>
        </w:tc>
      </w:tr>
      <w:tr>
        <w:tc>
          <w:tcPr>
            <w:tcW w:type="dxa" w:w="2592"/>
            <w:vAlign w:val="center"/>
          </w:tcPr>
          <w:p>
            <w:pPr>
              <w:spacing w:after="0" w:line="240" w:lineRule="auto"/>
              <w:jc w:val="left"/>
            </w:pPr>
            <w:r>
              <w:rPr>
                <w:rFonts w:ascii="Times New Roman" w:hAnsi="Times New Roman" w:cs="Times New Roman"/>
                <w:sz w:val="16"/>
                <w:szCs w:val="16"/>
              </w:rPr>
              <w:t>Metasurface Profile</w:t>
            </w:r>
          </w:p>
        </w:tc>
        <w:tc>
          <w:tcPr>
            <w:tcW w:type="dxa" w:w="2304"/>
            <w:vAlign w:val="center"/>
          </w:tcPr>
          <w:p>
            <w:pPr>
              <w:spacing w:after="0" w:line="240" w:lineRule="auto"/>
              <w:jc w:val="center"/>
            </w:pPr>
            <w:r>
              <w:rPr>
                <w:rFonts w:ascii="Times New Roman" w:hAnsi="Times New Roman" w:cs="Times New Roman"/>
                <w:sz w:val="16"/>
                <w:szCs w:val="16"/>
              </w:rPr>
              <w:t>h = 3.9 mm (0.04λ</w:t>
            </w:r>
            <w:r>
              <w:rPr>
                <w:rFonts w:ascii="Times New Roman" w:hAnsi="Times New Roman" w:cs="Times New Roman"/>
                <w:sz w:val="16"/>
                <w:szCs w:val="16"/>
                <w:vertAlign w:val="subscript"/>
              </w:rPr>
              <w:t>0</w:t>
            </w:r>
            <w:r>
              <w:rPr>
                <w:rFonts w:ascii="Times New Roman" w:hAnsi="Times New Roman" w:cs="Times New Roman"/>
                <w:sz w:val="16"/>
                <w:szCs w:val="16"/>
              </w:rPr>
              <w:t xml:space="preserve"> at 3.1 GHz)</w:t>
            </w:r>
          </w:p>
        </w:tc>
        <w:tc>
          <w:tcPr>
            <w:tcW w:type="dxa" w:w="2016"/>
            <w:vAlign w:val="center"/>
          </w:tcPr>
          <w:p>
            <w:pPr>
              <w:spacing w:after="0" w:line="240" w:lineRule="auto"/>
              <w:jc w:val="center"/>
            </w:pPr>
            <w:r>
              <w:rPr>
                <w:rFonts w:ascii="Times New Roman" w:hAnsi="Times New Roman" w:cs="Times New Roman"/>
                <w:sz w:val="16"/>
                <w:szCs w:val="16"/>
              </w:rPr>
              <w:t>Low profile (&lt; 5 mm)</w:t>
            </w:r>
          </w:p>
        </w:tc>
        <w:tc>
          <w:tcPr>
            <w:tcW w:type="dxa" w:w="1728"/>
            <w:vAlign w:val="center"/>
          </w:tcPr>
          <w:p>
            <w:pPr>
              <w:spacing w:after="0" w:line="240" w:lineRule="auto"/>
              <w:jc w:val="center"/>
            </w:pPr>
            <w:r>
              <w:rPr>
                <w:rFonts w:ascii="Times New Roman" w:hAnsi="Times New Roman" w:cs="Times New Roman"/>
                <w:sz w:val="16"/>
                <w:szCs w:val="16"/>
              </w:rPr>
              <w:t>Achieved</w:t>
            </w:r>
          </w:p>
        </w:tc>
      </w:tr>
    </w:tbl>
    <w:p>
      <w:pPr>
        <w:spacing w:after="40"/>
      </w:pP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Challenges Encountered and Addressed</w:t>
      </w:r>
    </w:p>
    <w:p>
      <w:pPr>
        <w:pStyle w:val="ListBullet"/>
        <w:spacing w:after="30" w:line="269" w:lineRule="auto"/>
        <w:jc w:val="both"/>
      </w:pPr>
      <w:r>
        <w:rPr>
          <w:rFonts w:ascii="Times New Roman" w:hAnsi="Times New Roman" w:cs="Times New Roman"/>
          <w:b/>
          <w:sz w:val="21"/>
          <w:szCs w:val="21"/>
        </w:rPr>
        <w:t>Broadband Sweep Numerical Artefacts:</w:t>
      </w:r>
      <w:r>
        <w:rPr>
          <w:rFonts w:ascii="Times New Roman" w:hAnsi="Times New Roman" w:cs="Times New Roman"/>
          <w:sz w:val="21"/>
          <w:szCs w:val="21"/>
        </w:rPr>
        <w:t xml:space="preserve"> Coarse frequency sweeps showed non-physical steps near 4.0 and 6.2 GHz; refined mesh passes resolved these.</w:t>
      </w:r>
    </w:p>
    <w:p>
      <w:pPr>
        <w:pStyle w:val="ListBullet"/>
        <w:spacing w:after="30" w:line="269" w:lineRule="auto"/>
        <w:jc w:val="both"/>
      </w:pPr>
      <w:r>
        <w:rPr>
          <w:rFonts w:ascii="Times New Roman" w:hAnsi="Times New Roman" w:cs="Times New Roman"/>
          <w:b/>
          <w:sz w:val="21"/>
          <w:szCs w:val="21"/>
        </w:rPr>
        <w:t>Near-Field Metasurface Loading:</w:t>
      </w:r>
      <w:r>
        <w:rPr>
          <w:rFonts w:ascii="Times New Roman" w:hAnsi="Times New Roman" w:cs="Times New Roman"/>
          <w:sz w:val="21"/>
          <w:szCs w:val="21"/>
        </w:rPr>
        <w:t xml:space="preserve"> At an ultra-thin spacing of h = 3.9 mm, reactive loading slightly alters impedance; re-tuning L</w:t>
      </w:r>
      <w:r>
        <w:rPr>
          <w:rFonts w:ascii="Times New Roman" w:hAnsi="Times New Roman" w:cs="Times New Roman"/>
          <w:sz w:val="21"/>
          <w:szCs w:val="21"/>
          <w:vertAlign w:val="subscript"/>
        </w:rPr>
        <w:t>g</w:t>
      </w:r>
      <w:r>
        <w:rPr>
          <w:rFonts w:ascii="Times New Roman" w:hAnsi="Times New Roman" w:cs="Times New Roman"/>
          <w:sz w:val="21"/>
          <w:szCs w:val="21"/>
        </w:rPr>
        <w:t xml:space="preserve"> preserves matching.</w:t>
      </w:r>
    </w:p>
    <w:p>
      <w:pPr>
        <w:pStyle w:val="ListBullet"/>
        <w:spacing w:after="30" w:line="269" w:lineRule="auto"/>
        <w:jc w:val="both"/>
      </w:pPr>
      <w:r>
        <w:rPr>
          <w:rFonts w:ascii="Times New Roman" w:hAnsi="Times New Roman" w:cs="Times New Roman"/>
          <w:b/>
          <w:sz w:val="21"/>
          <w:szCs w:val="21"/>
        </w:rPr>
        <w:t>Simulation Runtimes:</w:t>
      </w:r>
      <w:r>
        <w:rPr>
          <w:rFonts w:ascii="Times New Roman" w:hAnsi="Times New Roman" w:cs="Times New Roman"/>
          <w:sz w:val="21"/>
          <w:szCs w:val="21"/>
        </w:rPr>
        <w:t xml:space="preserve"> Composite 3D structures require large meshes; unit cells were characterized with Floquet ports prior to full-array verification.</w:t>
      </w:r>
    </w:p>
    <w:p w:rsidR="00AD6F9A" w:rsidRPr="000E5FC4" w:rsidRDefault="001F4042">
      <w:pPr>
        <w:pStyle w:val="Heading1"/>
        <w:pageBreakBefore w:val="0"/>
        <w:rPr>
          <w:rFonts w:ascii="Times New Roman" w:hAnsi="Times New Roman" w:cs="Times New Roman"/>
          <w:sz w:val="24"/>
          <w:szCs w:val="24"/>
        </w:rPr>
      </w:pPr>
      <w:r w:rsidRPr="000E5FC4">
        <w:rPr>
          <w:rFonts w:ascii="Times New Roman" w:hAnsi="Times New Roman" w:cs="Times New Roman"/>
          <w:sz w:val="24"/>
          <w:szCs w:val="24"/>
        </w:rPr>
        <w:lastRenderedPageBreak/>
        <w:t>Work Plan for Next Phase</w:t>
      </w:r>
    </w:p>
    <w:p>
      <w:pPr>
        <w:spacing w:after="40" w:line="269" w:lineRule="auto"/>
        <w:jc w:val="both"/>
      </w:pPr>
      <w:r>
        <w:rPr>
          <w:rFonts w:ascii="Times New Roman" w:hAnsi="Times New Roman" w:cs="Times New Roman"/>
          <w:sz w:val="21"/>
          <w:szCs w:val="21"/>
        </w:rPr>
        <w:t>In the next phase of the project, the primary focus will be extending the optimized wideband single-element antenna into a multi-port MIMO configuration and conducting experimental validation. The individual decagonal radiators will be arranged in an orthogonal orientation on a shared coplanar ground plane to exploit pattern and polarization diversity, thereby suppressing mutual coupling between adjacent antenna elements. The split-ring-resonator metasurface array will be expanded to serve as a common low-profile reflective backing for the multi-element system, enhancing forward directivity while preserving inter-element decoupling. Comprehensive diversity performance analyses will be carried out by evaluating critical MIMO parameters, including inter-port isolation, envelope correlation coefficient, diversity gain, total active reflection coefficient, channel capacity loss, and mean effective gain. Following electromagnetic simulation and layout refinement, physical prototypes will be fabricated on FR-4 substrates using standard photolithographic etching. Experimental characterization will be conducted using a calibrated vector network analyzer for multi-port reflection and transmission measurements, alongside anechoic chamber testing for far-field radiation patterns and realized gain.</w:t>
      </w:r>
    </w:p>
    <w:p w:rsidR="00B362F6" w:rsidRPr="000E5FC4" w:rsidRDefault="00B362F6" w:rsidP="00B362F6">
      <w:pPr>
        <w:pStyle w:val="Heading1"/>
        <w:pageBreakBefore/>
        <w:rPr>
          <w:rFonts w:ascii="Times New Roman" w:hAnsi="Times New Roman" w:cs="Times New Roman"/>
          <w:sz w:val="24"/>
          <w:szCs w:val="24"/>
        </w:rPr>
      </w:pPr>
      <w:r w:rsidRPr="000E5FC4">
        <w:rPr>
          <w:rFonts w:ascii="Times New Roman" w:hAnsi="Times New Roman" w:cs="Times New Roman"/>
          <w:sz w:val="24"/>
          <w:szCs w:val="24"/>
        </w:rPr>
        <w:t>Expected Outcomes</w:t>
      </w:r>
    </w:p>
    <w:p>
      <w:pPr>
        <w:pStyle w:val="ListBullet"/>
        <w:spacing w:after="30" w:line="269" w:lineRule="auto"/>
        <w:jc w:val="both"/>
      </w:pPr>
      <w:r>
        <w:rPr>
          <w:rFonts w:ascii="Times New Roman" w:hAnsi="Times New Roman" w:cs="Times New Roman"/>
          <w:sz w:val="21"/>
          <w:szCs w:val="21"/>
        </w:rPr>
        <w:t>A validated CPW-fed decagonal monopole antenna covering 2.16–15.73 GHz (151.7 % FBW), fully satisfying wideband requirements from 2.1 GHz to 15 GHz with IEEE gain of 2.9–4.9 dBi.</w:t>
      </w:r>
    </w:p>
    <w:p>
      <w:pPr>
        <w:pStyle w:val="ListBullet"/>
        <w:spacing w:after="30" w:line="269" w:lineRule="auto"/>
        <w:jc w:val="both"/>
      </w:pPr>
      <w:r>
        <w:rPr>
          <w:rFonts w:ascii="Times New Roman" w:hAnsi="Times New Roman" w:cs="Times New Roman"/>
          <w:sz w:val="21"/>
          <w:szCs w:val="21"/>
        </w:rPr>
        <w:t>A low-profile 6 × 5 double-SRR metasurface reflector operating at an air gap of h = 3.9 mm, substantially increasing forward broadside gain without impedance detuning.</w:t>
      </w:r>
    </w:p>
    <w:p>
      <w:pPr>
        <w:pStyle w:val="ListBullet"/>
        <w:spacing w:after="30" w:line="269" w:lineRule="auto"/>
        <w:jc w:val="both"/>
      </w:pPr>
      <w:r>
        <w:rPr>
          <w:rFonts w:ascii="Times New Roman" w:hAnsi="Times New Roman" w:cs="Times New Roman"/>
          <w:sz w:val="21"/>
          <w:szCs w:val="21"/>
        </w:rPr>
        <w:t>A rigorous comparative benchmark confirming that the AMC metasurface significantly outperforms a metal plate at identical spacing.</w:t>
      </w:r>
    </w:p>
    <w:p>
      <w:pPr>
        <w:pStyle w:val="ListBullet"/>
        <w:spacing w:after="30" w:line="269" w:lineRule="auto"/>
        <w:jc w:val="both"/>
      </w:pPr>
      <w:r>
        <w:rPr>
          <w:rFonts w:ascii="Times New Roman" w:hAnsi="Times New Roman" w:cs="Times New Roman"/>
          <w:sz w:val="21"/>
          <w:szCs w:val="21"/>
        </w:rPr>
        <w:t>A high-performance multi-port orthogonal MIMO antenna array providing high isolation and low envelope correlation across the wide operating band.</w:t>
      </w:r>
    </w:p>
    <w:p>
      <w:pPr>
        <w:pStyle w:val="ListBullet"/>
        <w:spacing w:after="30" w:line="269" w:lineRule="auto"/>
        <w:jc w:val="both"/>
      </w:pPr>
      <w:r>
        <w:rPr>
          <w:rFonts w:ascii="Times New Roman" w:hAnsi="Times New Roman" w:cs="Times New Roman"/>
          <w:sz w:val="21"/>
          <w:szCs w:val="21"/>
        </w:rPr>
        <w:t>Experimental validation via fabricated prototypes, calibrated VNA S-parameter measurements, and anechoic chamber far-field radiation testing.</w:t>
      </w:r>
    </w:p>
    <w:p w:rsidR="00AD6F9A" w:rsidRPr="000E5FC4" w:rsidRDefault="001F4042">
      <w:pPr>
        <w:pStyle w:val="Heading1"/>
        <w:pageBreakBefore w:val="0"/>
        <w:rPr>
          <w:rFonts w:ascii="Times New Roman" w:hAnsi="Times New Roman" w:cs="Times New Roman"/>
          <w:sz w:val="24"/>
          <w:szCs w:val="24"/>
        </w:rPr>
      </w:pPr>
      <w:r w:rsidRPr="000E5FC4">
        <w:rPr>
          <w:rFonts w:ascii="Times New Roman" w:hAnsi="Times New Roman" w:cs="Times New Roman"/>
          <w:sz w:val="24"/>
          <w:szCs w:val="24"/>
        </w:rPr>
        <w:t>References</w:t>
      </w:r>
    </w:p>
    <w:p>
      <w:pPr>
        <w:tabs>
          <w:tab w:pos="504" w:val="left"/>
        </w:tabs>
        <w:spacing w:after="30" w:line="240" w:lineRule="auto"/>
        <w:ind w:left="504" w:hanging="504"/>
        <w:jc w:val="both"/>
      </w:pPr>
      <w:r>
        <w:rPr>
          <w:rFonts w:ascii="Times New Roman" w:hAnsi="Times New Roman" w:cs="Times New Roman"/>
          <w:sz w:val="17"/>
          <w:szCs w:val="17"/>
        </w:rPr>
        <w:t>[1]</w:t>
        <w:tab/>
        <w:t xml:space="preserve">G. J. Foschini and M. J. Gans, “On limits of wireless communications in a fading environment when using multiple antennas,” </w:t>
      </w:r>
      <w:r>
        <w:rPr>
          <w:rFonts w:ascii="Times New Roman" w:hAnsi="Times New Roman" w:cs="Times New Roman"/>
          <w:i/>
          <w:sz w:val="17"/>
          <w:szCs w:val="17"/>
        </w:rPr>
        <w:t>Wireless Pers. Commun.</w:t>
      </w:r>
      <w:r>
        <w:rPr>
          <w:rFonts w:ascii="Times New Roman" w:hAnsi="Times New Roman" w:cs="Times New Roman"/>
          <w:sz w:val="17"/>
          <w:szCs w:val="17"/>
        </w:rPr>
        <w:t>, vol. 6, no. 3, pp. 311–335, Mar. 1998, doi: 10.1023/A:1008889222784.</w:t>
      </w:r>
    </w:p>
    <w:p>
      <w:pPr>
        <w:tabs>
          <w:tab w:pos="504" w:val="left"/>
        </w:tabs>
        <w:spacing w:after="30" w:line="240" w:lineRule="auto"/>
        <w:ind w:left="504" w:hanging="504"/>
        <w:jc w:val="both"/>
      </w:pPr>
      <w:r>
        <w:rPr>
          <w:rFonts w:ascii="Times New Roman" w:hAnsi="Times New Roman" w:cs="Times New Roman"/>
          <w:sz w:val="17"/>
          <w:szCs w:val="17"/>
        </w:rPr>
        <w:t>[2]</w:t>
        <w:tab/>
        <w:t xml:space="preserve">E. Telatar, “Capacity of multi-antenna Gaussian channels,” </w:t>
      </w:r>
      <w:r>
        <w:rPr>
          <w:rFonts w:ascii="Times New Roman" w:hAnsi="Times New Roman" w:cs="Times New Roman"/>
          <w:i/>
          <w:sz w:val="17"/>
          <w:szCs w:val="17"/>
        </w:rPr>
        <w:t>Eur. Trans. Telecommun.</w:t>
      </w:r>
      <w:r>
        <w:rPr>
          <w:rFonts w:ascii="Times New Roman" w:hAnsi="Times New Roman" w:cs="Times New Roman"/>
          <w:sz w:val="17"/>
          <w:szCs w:val="17"/>
        </w:rPr>
        <w:t>, vol. 10, no. 6, pp. 585–595, Nov./Dec. 1999, doi: 10.1002/ett.4460100604.</w:t>
      </w:r>
    </w:p>
    <w:p>
      <w:pPr>
        <w:tabs>
          <w:tab w:pos="504" w:val="left"/>
        </w:tabs>
        <w:spacing w:after="30" w:line="240" w:lineRule="auto"/>
        <w:ind w:left="504" w:hanging="504"/>
        <w:jc w:val="both"/>
      </w:pPr>
      <w:r>
        <w:rPr>
          <w:rFonts w:ascii="Times New Roman" w:hAnsi="Times New Roman" w:cs="Times New Roman"/>
          <w:sz w:val="17"/>
          <w:szCs w:val="17"/>
        </w:rPr>
        <w:t>[3]</w:t>
        <w:tab/>
        <w:t xml:space="preserve">N. P. Agrawall, G. Kumar, and K. P. Ray, “Wide-band planar monopole antennas,” </w:t>
      </w:r>
      <w:r>
        <w:rPr>
          <w:rFonts w:ascii="Times New Roman" w:hAnsi="Times New Roman" w:cs="Times New Roman"/>
          <w:i/>
          <w:sz w:val="17"/>
          <w:szCs w:val="17"/>
        </w:rPr>
        <w:t>IEEE Trans. Antennas Propag.</w:t>
      </w:r>
      <w:r>
        <w:rPr>
          <w:rFonts w:ascii="Times New Roman" w:hAnsi="Times New Roman" w:cs="Times New Roman"/>
          <w:sz w:val="17"/>
          <w:szCs w:val="17"/>
        </w:rPr>
        <w:t>, vol. 46, no. 2, pp. 294–295, Feb. 1998, doi: 10.1109/8.660976.</w:t>
      </w:r>
    </w:p>
    <w:p>
      <w:pPr>
        <w:tabs>
          <w:tab w:pos="504" w:val="left"/>
        </w:tabs>
        <w:spacing w:after="30" w:line="240" w:lineRule="auto"/>
        <w:ind w:left="504" w:hanging="504"/>
        <w:jc w:val="both"/>
      </w:pPr>
      <w:r>
        <w:rPr>
          <w:rFonts w:ascii="Times New Roman" w:hAnsi="Times New Roman" w:cs="Times New Roman"/>
          <w:sz w:val="17"/>
          <w:szCs w:val="17"/>
        </w:rPr>
        <w:t>[4]</w:t>
        <w:tab/>
        <w:t xml:space="preserve">K. P. Ray, “Design aspects of printed monopole antennas for ultra-wide band applications,” </w:t>
      </w:r>
      <w:r>
        <w:rPr>
          <w:rFonts w:ascii="Times New Roman" w:hAnsi="Times New Roman" w:cs="Times New Roman"/>
          <w:i/>
          <w:sz w:val="17"/>
          <w:szCs w:val="17"/>
        </w:rPr>
        <w:t>Int. J. Antennas Propag.</w:t>
      </w:r>
      <w:r>
        <w:rPr>
          <w:rFonts w:ascii="Times New Roman" w:hAnsi="Times New Roman" w:cs="Times New Roman"/>
          <w:sz w:val="17"/>
          <w:szCs w:val="17"/>
        </w:rPr>
        <w:t>, vol. 2008, Art. no. 713858, 2008, doi: 10.1155/2008/713858.</w:t>
      </w:r>
    </w:p>
    <w:p>
      <w:pPr>
        <w:tabs>
          <w:tab w:pos="504" w:val="left"/>
        </w:tabs>
        <w:spacing w:after="30" w:line="240" w:lineRule="auto"/>
        <w:ind w:left="504" w:hanging="504"/>
        <w:jc w:val="both"/>
      </w:pPr>
      <w:r>
        <w:rPr>
          <w:rFonts w:ascii="Times New Roman" w:hAnsi="Times New Roman" w:cs="Times New Roman"/>
          <w:sz w:val="17"/>
          <w:szCs w:val="17"/>
        </w:rPr>
        <w:t>[5]</w:t>
        <w:tab/>
        <w:t xml:space="preserve">R. N. Simons, </w:t>
      </w:r>
      <w:r>
        <w:rPr>
          <w:rFonts w:ascii="Times New Roman" w:hAnsi="Times New Roman" w:cs="Times New Roman"/>
          <w:i/>
          <w:sz w:val="17"/>
          <w:szCs w:val="17"/>
        </w:rPr>
        <w:t>Coplanar Waveguide Circuits, Components, and Systems</w:t>
      </w:r>
      <w:r>
        <w:rPr>
          <w:rFonts w:ascii="Times New Roman" w:hAnsi="Times New Roman" w:cs="Times New Roman"/>
          <w:sz w:val="17"/>
          <w:szCs w:val="17"/>
        </w:rPr>
        <w:t>. New York, NY, USA: Wiley, 2001, doi: 10.1002/0471224758.</w:t>
      </w:r>
    </w:p>
    <w:p>
      <w:pPr>
        <w:tabs>
          <w:tab w:pos="504" w:val="left"/>
        </w:tabs>
        <w:spacing w:after="30" w:line="240" w:lineRule="auto"/>
        <w:ind w:left="504" w:hanging="504"/>
        <w:jc w:val="both"/>
      </w:pPr>
      <w:r>
        <w:rPr>
          <w:rFonts w:ascii="Times New Roman" w:hAnsi="Times New Roman" w:cs="Times New Roman"/>
          <w:sz w:val="17"/>
          <w:szCs w:val="17"/>
        </w:rPr>
        <w:t>[6]</w:t>
        <w:tab/>
        <w:t xml:space="preserve">C. A. Balanis, </w:t>
      </w:r>
      <w:r>
        <w:rPr>
          <w:rFonts w:ascii="Times New Roman" w:hAnsi="Times New Roman" w:cs="Times New Roman"/>
          <w:i/>
          <w:sz w:val="17"/>
          <w:szCs w:val="17"/>
        </w:rPr>
        <w:t>Antenna Theory: Analysis and Design</w:t>
      </w:r>
      <w:r>
        <w:rPr>
          <w:rFonts w:ascii="Times New Roman" w:hAnsi="Times New Roman" w:cs="Times New Roman"/>
          <w:sz w:val="17"/>
          <w:szCs w:val="17"/>
        </w:rPr>
        <w:t>, 4th ed. Hoboken, NJ, USA: Wiley, 2016.</w:t>
      </w:r>
    </w:p>
    <w:p>
      <w:pPr>
        <w:tabs>
          <w:tab w:pos="504" w:val="left"/>
        </w:tabs>
        <w:spacing w:after="30" w:line="240" w:lineRule="auto"/>
        <w:ind w:left="504" w:hanging="504"/>
        <w:jc w:val="both"/>
      </w:pPr>
      <w:r>
        <w:rPr>
          <w:rFonts w:ascii="Times New Roman" w:hAnsi="Times New Roman" w:cs="Times New Roman"/>
          <w:sz w:val="17"/>
          <w:szCs w:val="17"/>
        </w:rPr>
        <w:t>[7]</w:t>
        <w:tab/>
        <w:t xml:space="preserve">D. Sievenpiper, L. Zhang, R. F. J. Broas, N. G. Alexópolous, and E. Yablonovitch, “High-impedance electromagnetic surfaces with a forbidden frequency band,” </w:t>
      </w:r>
      <w:r>
        <w:rPr>
          <w:rFonts w:ascii="Times New Roman" w:hAnsi="Times New Roman" w:cs="Times New Roman"/>
          <w:i/>
          <w:sz w:val="17"/>
          <w:szCs w:val="17"/>
        </w:rPr>
        <w:t>IEEE Trans. Microw. Theory Techn.</w:t>
      </w:r>
      <w:r>
        <w:rPr>
          <w:rFonts w:ascii="Times New Roman" w:hAnsi="Times New Roman" w:cs="Times New Roman"/>
          <w:sz w:val="17"/>
          <w:szCs w:val="17"/>
        </w:rPr>
        <w:t>, vol. 47, no. 11, pp. 2059–2074, Nov. 1999, doi: 10.1109/22.798001.</w:t>
      </w:r>
    </w:p>
    <w:p>
      <w:pPr>
        <w:tabs>
          <w:tab w:pos="504" w:val="left"/>
        </w:tabs>
        <w:spacing w:after="30" w:line="240" w:lineRule="auto"/>
        <w:ind w:left="504" w:hanging="504"/>
        <w:jc w:val="both"/>
      </w:pPr>
      <w:r>
        <w:rPr>
          <w:rFonts w:ascii="Times New Roman" w:hAnsi="Times New Roman" w:cs="Times New Roman"/>
          <w:sz w:val="17"/>
          <w:szCs w:val="17"/>
        </w:rPr>
        <w:t>[8]</w:t>
        <w:tab/>
        <w:t xml:space="preserve">J. B. Pendry, A. J. Holden, D. J. Robbins, and W. J. Stewart, “Magnetism from conductors and enhanced nonlinear phenomena,” </w:t>
      </w:r>
      <w:r>
        <w:rPr>
          <w:rFonts w:ascii="Times New Roman" w:hAnsi="Times New Roman" w:cs="Times New Roman"/>
          <w:i/>
          <w:sz w:val="17"/>
          <w:szCs w:val="17"/>
        </w:rPr>
        <w:t>IEEE Trans. Microw. Theory Techn.</w:t>
      </w:r>
      <w:r>
        <w:rPr>
          <w:rFonts w:ascii="Times New Roman" w:hAnsi="Times New Roman" w:cs="Times New Roman"/>
          <w:sz w:val="17"/>
          <w:szCs w:val="17"/>
        </w:rPr>
        <w:t>, vol. 47, no. 11, pp. 2075–2084, Nov. 1999, doi: 10.1109/22.798002.</w:t>
      </w:r>
    </w:p>
    <w:p>
      <w:pPr>
        <w:tabs>
          <w:tab w:pos="504" w:val="left"/>
        </w:tabs>
        <w:spacing w:after="30" w:line="240" w:lineRule="auto"/>
        <w:ind w:left="504" w:hanging="504"/>
        <w:jc w:val="both"/>
      </w:pPr>
      <w:r>
        <w:rPr>
          <w:rFonts w:ascii="Times New Roman" w:hAnsi="Times New Roman" w:cs="Times New Roman"/>
          <w:sz w:val="17"/>
          <w:szCs w:val="17"/>
        </w:rPr>
        <w:t>[9]</w:t>
        <w:tab/>
        <w:t xml:space="preserve">M. S. Sharawi, “Printed multi-band MIMO antenna systems and their performance metrics,” </w:t>
      </w:r>
      <w:r>
        <w:rPr>
          <w:rFonts w:ascii="Times New Roman" w:hAnsi="Times New Roman" w:cs="Times New Roman"/>
          <w:i/>
          <w:sz w:val="17"/>
          <w:szCs w:val="17"/>
        </w:rPr>
        <w:t>IEEE Antennas Propag. Mag.</w:t>
      </w:r>
      <w:r>
        <w:rPr>
          <w:rFonts w:ascii="Times New Roman" w:hAnsi="Times New Roman" w:cs="Times New Roman"/>
          <w:sz w:val="17"/>
          <w:szCs w:val="17"/>
        </w:rPr>
        <w:t>, vol. 55, no. 5, pp. 218–232, Oct. 2013, doi: 10.1109/MAP.2013.6735522.</w:t>
      </w:r>
    </w:p>
    <w:p>
      <w:pPr>
        <w:tabs>
          <w:tab w:pos="504" w:val="left"/>
        </w:tabs>
        <w:spacing w:after="30" w:line="240" w:lineRule="auto"/>
        <w:ind w:left="504" w:hanging="504"/>
        <w:jc w:val="both"/>
      </w:pPr>
      <w:r>
        <w:rPr>
          <w:rFonts w:ascii="Times New Roman" w:hAnsi="Times New Roman" w:cs="Times New Roman"/>
          <w:sz w:val="17"/>
          <w:szCs w:val="17"/>
        </w:rPr>
        <w:t>[10]</w:t>
        <w:tab/>
        <w:t xml:space="preserve">A. J. A. Al-Gburi, I. B. M. Ibrahim, Z. Zakaria, B. H. Ahmad, N. A. B. Shairi, and M. Y. Zeain, “High gain of UWB planar antenna utilising FSS reflector for UWB applications,” </w:t>
      </w:r>
      <w:r>
        <w:rPr>
          <w:rFonts w:ascii="Times New Roman" w:hAnsi="Times New Roman" w:cs="Times New Roman"/>
          <w:i/>
          <w:sz w:val="17"/>
          <w:szCs w:val="17"/>
        </w:rPr>
        <w:t>Comput. Mater. Contin.</w:t>
      </w:r>
      <w:r>
        <w:rPr>
          <w:rFonts w:ascii="Times New Roman" w:hAnsi="Times New Roman" w:cs="Times New Roman"/>
          <w:sz w:val="17"/>
          <w:szCs w:val="17"/>
        </w:rPr>
        <w:t>, vol. 70, no. 1, pp. 1425–1436, 2022, doi: 10.32604/cmc.2022.019741.</w:t>
      </w:r>
    </w:p>
    <w:p>
      <w:pPr>
        <w:tabs>
          <w:tab w:pos="504" w:val="left"/>
        </w:tabs>
        <w:spacing w:after="30" w:line="240" w:lineRule="auto"/>
        <w:ind w:left="504" w:hanging="504"/>
        <w:jc w:val="both"/>
      </w:pPr>
      <w:r>
        <w:rPr>
          <w:rFonts w:ascii="Times New Roman" w:hAnsi="Times New Roman" w:cs="Times New Roman"/>
          <w:sz w:val="17"/>
          <w:szCs w:val="17"/>
        </w:rPr>
        <w:t>[11]</w:t>
        <w:tab/>
        <w:t xml:space="preserve">M. Hussain, M. A. Sufian, M. S. Alzaidi, S. I. Naqvi, N. Hussain, D. H. Elkamchouchi, M. F. A. Sree, and S. Y. A. Fatah, “Bandwidth and gain enhancement of a CPW antenna using frequency selective surface for UWB applications,” </w:t>
      </w:r>
      <w:r>
        <w:rPr>
          <w:rFonts w:ascii="Times New Roman" w:hAnsi="Times New Roman" w:cs="Times New Roman"/>
          <w:i/>
          <w:sz w:val="17"/>
          <w:szCs w:val="17"/>
        </w:rPr>
        <w:t>Micromachines</w:t>
      </w:r>
      <w:r>
        <w:rPr>
          <w:rFonts w:ascii="Times New Roman" w:hAnsi="Times New Roman" w:cs="Times New Roman"/>
          <w:sz w:val="17"/>
          <w:szCs w:val="17"/>
        </w:rPr>
        <w:t>, vol. 14, no. 3, Art. no. 591, Feb. 2023, doi: 10.3390/mi14030591.</w:t>
      </w:r>
    </w:p>
    <w:p>
      <w:pPr>
        <w:tabs>
          <w:tab w:pos="504" w:val="left"/>
        </w:tabs>
        <w:spacing w:after="30" w:line="240" w:lineRule="auto"/>
        <w:ind w:left="504" w:hanging="504"/>
        <w:jc w:val="both"/>
      </w:pPr>
      <w:r>
        <w:rPr>
          <w:rFonts w:ascii="Times New Roman" w:hAnsi="Times New Roman" w:cs="Times New Roman"/>
          <w:sz w:val="17"/>
          <w:szCs w:val="17"/>
        </w:rPr>
        <w:t>[12]</w:t>
        <w:tab/>
        <w:t xml:space="preserve">M. M. Hasan, M. T. Islam, M. Samsuzzaman, M. H. Baharuddin, M. S. Soliman, A. Alzamil, I. I. M. Abu Sulayman, and M. S. Islam, “Gain and isolation enhancement of a wideband MIMO antenna using metasurface for 5G sub-6 GHz communication systems,” </w:t>
      </w:r>
      <w:r>
        <w:rPr>
          <w:rFonts w:ascii="Times New Roman" w:hAnsi="Times New Roman" w:cs="Times New Roman"/>
          <w:i/>
          <w:sz w:val="17"/>
          <w:szCs w:val="17"/>
        </w:rPr>
        <w:t>Sci. Rep.</w:t>
      </w:r>
      <w:r>
        <w:rPr>
          <w:rFonts w:ascii="Times New Roman" w:hAnsi="Times New Roman" w:cs="Times New Roman"/>
          <w:sz w:val="17"/>
          <w:szCs w:val="17"/>
        </w:rPr>
        <w:t>, vol. 12, Art. no. 9433, 2022, doi: 10.1038/s41598-022-13522-5.</w:t>
      </w:r>
    </w:p>
    <w:p>
      <w:pPr>
        <w:tabs>
          <w:tab w:pos="504" w:val="left"/>
        </w:tabs>
        <w:spacing w:after="30" w:line="240" w:lineRule="auto"/>
        <w:ind w:left="504" w:hanging="504"/>
        <w:jc w:val="both"/>
      </w:pPr>
      <w:r>
        <w:rPr>
          <w:rFonts w:ascii="Times New Roman" w:hAnsi="Times New Roman" w:cs="Times New Roman"/>
          <w:sz w:val="17"/>
          <w:szCs w:val="17"/>
        </w:rPr>
        <w:t>[13]</w:t>
        <w:tab/>
        <w:t xml:space="preserve">R. Wu, J. Dong, and M. Wang, “Wearable polarization conversion metasurface MIMO antenna for biomedical applications in 5 GHz WBAN,” </w:t>
      </w:r>
      <w:r>
        <w:rPr>
          <w:rFonts w:ascii="Times New Roman" w:hAnsi="Times New Roman" w:cs="Times New Roman"/>
          <w:i/>
          <w:sz w:val="17"/>
          <w:szCs w:val="17"/>
        </w:rPr>
        <w:t>Biosensors</w:t>
      </w:r>
      <w:r>
        <w:rPr>
          <w:rFonts w:ascii="Times New Roman" w:hAnsi="Times New Roman" w:cs="Times New Roman"/>
          <w:sz w:val="17"/>
          <w:szCs w:val="17"/>
        </w:rPr>
        <w:t>, vol. 13, no. 1, Art. no. 73, 2023, doi: 10.3390/bios13010073.</w:t>
      </w:r>
    </w:p>
    <w:sectPr w:rsidR="00AD6F9A" w:rsidRPr="000E5FC4" w:rsidSect="00034616">
      <w:footerReference w:type="default" r:id="rId18"/>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5FC4"/>
    <w:rsid w:val="0015074B"/>
    <w:rsid w:val="001F4042"/>
    <w:rsid w:val="0029639D"/>
    <w:rsid w:val="00326F90"/>
    <w:rsid w:val="00AA1D8D"/>
    <w:rsid w:val="00AD6F9A"/>
    <w:rsid w:val="00AF57E0"/>
    <w:rsid w:val="00B362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13FEA49-9662-4C7E-B546-7927259A4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5A02D-ACB0-43B1-8B65-FD76B5ECC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6</Pages>
  <Words>96</Words>
  <Characters>634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Wideband MIMO Antenna with Metasurface: Mid-Semester Report</dc:title>
  <dc:subject/>
  <dc:creator>Chanswarang Boro, Nishit Baishya, Anushka Dam, Sanjana</dc:creator>
  <cp:keywords/>
  <dc:description>generated by python-docx</dc:description>
  <cp:lastModifiedBy>Chanswarang Boro, Nishit Baishya, Anushka Dam, Sanjana</cp:lastModifiedBy>
  <cp:revision>5</cp:revision>
  <dcterms:created xsi:type="dcterms:W3CDTF">2013-12-23T23:15:00Z</dcterms:created>
  <dcterms:modified xsi:type="dcterms:W3CDTF">2025-09-10T10:21:00Z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53a4b2c0-cd19-4d76-8729-fe7d88b9c591</vt:lpwstr>
  </property>
</Properties>
</file>