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6F9A" w:rsidRPr="00AF57E0" w:rsidRDefault="00B362F6" w:rsidP="000E5FC4">
      <w:pPr>
        <w:pStyle w:val="Title"/>
        <w:jc w:val="center"/>
        <w:rPr>
          <w:rFonts w:ascii="Times New Roman" w:hAnsi="Times New Roman" w:cs="Times New Roman"/>
          <w:color w:val="auto"/>
          <w:sz w:val="28"/>
          <w:szCs w:val="28"/>
        </w:rPr>
      </w:pPr>
      <w:r w:rsidRPr="00AF57E0">
        <w:rPr>
          <w:rFonts w:ascii="Times New Roman" w:hAnsi="Times New Roman" w:cs="Times New Roman"/>
          <w:color w:val="auto"/>
          <w:sz w:val="28"/>
          <w:szCs w:val="28"/>
        </w:rPr>
        <w:t>B. Tech. PROJECT LITERATURE REVIEW (Mid-Semester Evaluation)</w:t>
      </w:r>
    </w:p>
    <w:p w:rsidR="001F4042" w:rsidRDefault="001F4042" w:rsidP="000E5FC4">
      <w:pPr>
        <w:spacing w:after="0" w:line="240" w:lineRule="auto"/>
        <w:jc w:val="center"/>
        <w:rPr>
          <w:rFonts w:ascii="Times New Roman" w:eastAsia="Times New Roman" w:hAnsi="Times New Roman"/>
          <w:b/>
          <w:sz w:val="24"/>
        </w:rPr>
      </w:pPr>
    </w:p>
    <w:p w:rsidR="001F4042" w:rsidRDefault="001F4042" w:rsidP="000E5FC4">
      <w:pPr>
        <w:spacing w:after="0" w:line="240" w:lineRule="auto"/>
        <w:jc w:val="center"/>
        <w:rPr>
          <w:rFonts w:ascii="Times New Roman" w:eastAsia="Times New Roman" w:hAnsi="Times New Roman"/>
          <w:b/>
          <w:sz w:val="24"/>
        </w:rPr>
      </w:pPr>
    </w:p>
    <w:p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WIDEBAND MIMO ANTENNA WITH METASURFACE</w:t>
      </w:r>
    </w:p>
    <w:p w:rsidR="000E5FC4" w:rsidRPr="00AF57E0" w:rsidRDefault="000E5FC4" w:rsidP="000E5FC4">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Phase I: CPW-fed UWB Antenna with a Split-Ring-Resonator Metasurface Reflector</w:t>
      </w: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Submitted by:</w:t>
      </w: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CHANSWARANG BORO (2314143)</w:t>
      </w:r>
    </w:p>
    <w:p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NISHIT BAISHYA (2314088)</w:t>
      </w:r>
    </w:p>
    <w:p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ANUSHKA DAM (2314115)</w:t>
      </w:r>
    </w:p>
    <w:p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SANJANA (2314060)</w:t>
      </w: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DR. UJJAL CHAKRABORTY</w:t>
      </w:r>
    </w:p>
    <w:p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MR. SOVAN BHATTACHARYA (CO-GUIDE)</w:t>
      </w:r>
    </w:p>
    <w:p w:rsidR="000E5FC4" w:rsidRPr="00AF57E0" w:rsidRDefault="000E5FC4" w:rsidP="000E5FC4">
      <w:pPr>
        <w:spacing w:after="0" w:line="240" w:lineRule="auto"/>
        <w:jc w:val="center"/>
        <w:rPr>
          <w:rFonts w:ascii="Times New Roman" w:eastAsia="Times New Roman" w:hAnsi="Times New Roman"/>
          <w:b/>
          <w:sz w:val="28"/>
          <w:szCs w:val="28"/>
        </w:rPr>
      </w:pPr>
    </w:p>
    <w:p w:rsidR="001F4042" w:rsidRPr="00AF57E0" w:rsidRDefault="001F4042" w:rsidP="000E5FC4">
      <w:pPr>
        <w:spacing w:after="0" w:line="240" w:lineRule="auto"/>
        <w:jc w:val="center"/>
        <w:rPr>
          <w:rFonts w:ascii="Times New Roman" w:eastAsia="Times New Roman" w:hAnsi="Times New Roman"/>
          <w:b/>
          <w:sz w:val="28"/>
          <w:szCs w:val="28"/>
        </w:rPr>
      </w:pPr>
    </w:p>
    <w:p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SUPERVISOR</w:t>
      </w:r>
      <w:r w:rsidR="00AF57E0">
        <w:rPr>
          <w:rFonts w:ascii="Times New Roman" w:eastAsia="Times New Roman" w:hAnsi="Times New Roman"/>
          <w:b/>
          <w:sz w:val="28"/>
          <w:szCs w:val="28"/>
        </w:rPr>
        <w:t>’S</w:t>
      </w:r>
      <w:r w:rsidRPr="00AF57E0">
        <w:rPr>
          <w:rFonts w:ascii="Times New Roman" w:eastAsia="Times New Roman" w:hAnsi="Times New Roman"/>
          <w:b/>
          <w:sz w:val="28"/>
          <w:szCs w:val="28"/>
        </w:rPr>
        <w:t xml:space="preserve"> SIGNATURE</w:t>
      </w: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sz w:val="28"/>
          <w:szCs w:val="28"/>
        </w:rPr>
      </w:pPr>
    </w:p>
    <w:p w:rsidR="000E5FC4"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DEPARTMENT OF ELECTRONICS AND COMMUNICATION ENGINEERING</w:t>
      </w:r>
    </w:p>
    <w:p w:rsidR="000E5FC4" w:rsidRPr="00AF57E0" w:rsidRDefault="000E5FC4" w:rsidP="000E5FC4">
      <w:pPr>
        <w:spacing w:after="0" w:line="240" w:lineRule="auto"/>
        <w:jc w:val="center"/>
        <w:rPr>
          <w:rFonts w:ascii="Times New Roman" w:eastAsia="Times New Roman" w:hAnsi="Times New Roman"/>
          <w:sz w:val="28"/>
          <w:szCs w:val="28"/>
        </w:rPr>
      </w:pPr>
    </w:p>
    <w:p w:rsidR="00AD6F9A" w:rsidRPr="00AF57E0" w:rsidRDefault="000E5FC4" w:rsidP="000E5FC4">
      <w:pPr>
        <w:spacing w:after="0" w:line="240" w:lineRule="auto"/>
        <w:jc w:val="center"/>
        <w:rPr>
          <w:rFonts w:ascii="Times New Roman" w:eastAsia="Times New Roman" w:hAnsi="Times New Roman"/>
          <w:b/>
          <w:sz w:val="28"/>
          <w:szCs w:val="28"/>
        </w:rPr>
      </w:pPr>
      <w:r w:rsidRPr="00AF57E0">
        <w:rPr>
          <w:rFonts w:ascii="Times New Roman" w:eastAsia="Times New Roman" w:hAnsi="Times New Roman"/>
          <w:b/>
          <w:sz w:val="28"/>
          <w:szCs w:val="28"/>
        </w:rPr>
        <w:t>NATIONAL INSTITUTE OF TECHNOLOGY SILCHAR, ASSAM (INDIA)-788010</w:t>
      </w:r>
    </w:p>
    <w:p>
      <w:pPr>
        <w:pStyle w:val="Heading1"/>
        <w:pageBreakBefore/>
        <w:rPr>
          <w:rFonts w:ascii="Times New Roman" w:hAnsi="Times New Roman" w:cs="Times New Roman"/>
          <w:sz w:val="24"/>
          <w:szCs w:val="24"/>
        </w:rPr>
      </w:pPr>
      <w:r>
        <w:rPr>
          <w:rFonts w:ascii="Times New Roman" w:hAnsi="Times New Roman" w:cs="Times New Roman"/>
          <w:sz w:val="24"/>
          <w:szCs w:val="24"/>
        </w:rPr>
        <w:t>Scope and Search Method</w:t>
      </w:r>
    </w:p>
    <w:p>
      <w:pPr>
        <w:jc w:val="both"/>
      </w:pPr>
      <w:r>
        <w:rPr>
          <w:rFonts w:ascii="Times New Roman" w:hAnsi="Times New Roman" w:cs="Times New Roman"/>
          <w:sz w:val="24"/>
          <w:szCs w:val="24"/>
        </w:rPr>
        <w:t>Phase I of the project, presented at this mid-semester evaluation, is a single coplanar-waveguide (CPW) fed ultra-wideband (UWB) monopole backed by a split-ring-resonator (SRR) metasurface placed behind it across an air gap. Phase II extends the design to a multiple-input multiple-output (MIMO) antenna. The review is split the same way: (i) single wideband antennas whose gain is raised by a metasurface, artificial magnetic conductor (AMC) or frequency selective surface (FSS) reflector, which bear directly on the present design, and (ii) MIMO antennas that use metasurfaces, which inform the next phase.</w:t>
      </w:r>
    </w:p>
    <w:p>
      <w:pPr>
        <w:jc w:val="both"/>
      </w:pPr>
      <w:r>
        <w:rPr>
          <w:rFonts w:ascii="Times New Roman" w:hAnsi="Times New Roman" w:cs="Times New Roman"/>
          <w:sz w:val="24"/>
          <w:szCs w:val="24"/>
        </w:rPr>
        <w:t>Papers were located through keyword searches (Google Scholar and the IEEE Xplore, ScienceDirect, Wiley, Nature and MDPI sites) combining “CPW-fed”, “UWB monopole”, “metasurface reflector”, “split-ring resonator”, “AMC”, “FSS”, “gain enhancement” and “MIMO isolation”, together with papers already identified by the team. Group (i) required a printed wideband or UWB antenna, a periodic reflector behind it, and gain reported with and without the reflector.</w:t>
      </w:r>
    </w:p>
    <w:p>
      <w:pPr>
        <w:jc w:val="both"/>
      </w:pPr>
      <w:r>
        <w:rPr>
          <w:rFonts w:ascii="Times New Roman" w:hAnsi="Times New Roman" w:cs="Times New Roman"/>
          <w:sz w:val="24"/>
          <w:szCs w:val="24"/>
        </w:rPr>
        <w:t>Two papers, by Al-Gburi et al. and Hussain et al., were read in full. For the others the full text could not be obtained in time, so their values come from the abstracts and the publishers’ public pages. Every value in the tables was checked against at least one of these sources; a value that could not be confirmed is marked “unverified” rather than estimated.</w:t>
      </w:r>
    </w:p>
    <w:p>
      <w:pPr>
        <w:pStyle w:val="Heading1"/>
        <w:rPr>
          <w:rFonts w:ascii="Times New Roman" w:hAnsi="Times New Roman" w:cs="Times New Roman"/>
          <w:sz w:val="24"/>
          <w:szCs w:val="24"/>
        </w:rPr>
      </w:pPr>
      <w:r>
        <w:rPr>
          <w:rFonts w:ascii="Times New Roman" w:hAnsi="Times New Roman" w:cs="Times New Roman"/>
          <w:sz w:val="24"/>
          <w:szCs w:val="24"/>
        </w:rPr>
        <w:t>Background</w:t>
      </w:r>
    </w:p>
    <w:p>
      <w:pPr>
        <w:jc w:val="both"/>
      </w:pPr>
      <w:r>
        <w:rPr>
          <w:rFonts w:ascii="Times New Roman" w:hAnsi="Times New Roman" w:cs="Times New Roman"/>
          <w:sz w:val="24"/>
          <w:szCs w:val="24"/>
        </w:rPr>
        <w:t>The FCC opened 3.1–10.6 GHz for unlicensed UWB communication at a very low power spectral density of −41.3 dBm/MHz [1]. Printed planar monopoles are the usual UWB radiators: a planar disc or polygon behaves like a thick cylindrical monopole whose closely spaced resonances overlap into one very wide impedance band [2], [3]. A CPW feed keeps the signal strip and both ground planes on the same side of the substrate, so no vias are needed and the ground can later be shared between MIMO elements [4]. The weakness of the printed monopole is its gain: it radiates almost equally on both sides of the board, so roughly half of the power leaves through the back and the gain stays at a few dBi [5].</w:t>
      </w:r>
    </w:p>
    <w:p>
      <w:pPr>
        <w:keepNext/>
        <w:jc w:val="both"/>
      </w:pPr>
      <w:r>
        <w:rPr>
          <w:rFonts w:ascii="Times New Roman" w:hAnsi="Times New Roman" w:cs="Times New Roman"/>
          <w:sz w:val="24"/>
          <w:szCs w:val="24"/>
        </w:rPr>
        <w:t xml:space="preserve">A metasurface is a two-dimensional array of sub-wavelength scatterers (unit cells) whose geometry sets the amplitude and phase of the waves it reflects or transmits [6]. The split-ring resonator (SRR) of Pendry </w:t>
      </w:r>
      <w:r>
        <w:rPr>
          <w:rFonts w:ascii="Times New Roman" w:hAnsi="Times New Roman" w:cs="Times New Roman"/>
          <w:i/>
          <w:sz w:val="24"/>
          <w:szCs w:val="24"/>
        </w:rPr>
        <w:t>et al.</w:t>
      </w:r>
      <w:r>
        <w:rPr>
          <w:rFonts w:ascii="Times New Roman" w:hAnsi="Times New Roman" w:cs="Times New Roman"/>
          <w:sz w:val="24"/>
          <w:szCs w:val="24"/>
        </w:rPr>
        <w:t xml:space="preserve"> [7] is one of the most widely used unit cells. The metal ring behaves as an inductance L and the split as a capacitance C, so the cell resonates at</w:t>
      </w:r>
    </w:p>
    <w:p>
      <w:pPr>
        <w:tabs>
          <w:tab w:pos="4320" w:val="center"/>
          <w:tab w:pos="8640" w:val="right"/>
        </w:tabs>
      </w:pPr>
      <w:r>
        <w:rPr>
          <w:rFonts w:ascii="Times New Roman" w:hAnsi="Times New Roman" w:cs="Times New Roman"/>
          <w:sz w:val="24"/>
          <w:szCs w:val="24"/>
        </w:rPr>
        <w:tab/>
      </w:r>
      <m:oMath>
        <m:sSub>
          <m:e>
            <m:r>
              <m:t xml:space="preserve">f</m:t>
            </m:r>
          </m:e>
          <m:sub>
            <m:r>
              <m:rPr>
                <m:sty m:val="p"/>
              </m:rPr>
              <m:t xml:space="preserve">0</m:t>
            </m:r>
          </m:sub>
        </m:sSub>
        <m:r>
          <m:rPr>
            <m:sty m:val="p"/>
          </m:rPr>
          <m:t xml:space="preserve"> = </m:t>
        </m:r>
        <m:f>
          <m:num>
            <m:r>
              <m:rPr>
                <m:sty m:val="p"/>
              </m:rPr>
              <m:t xml:space="preserve">1</m:t>
            </m:r>
          </m:num>
          <m:den>
            <m:r>
              <m:rPr>
                <m:sty m:val="p"/>
              </m:rPr>
              <m:t xml:space="preserve">2</m:t>
            </m:r>
            <m:r>
              <m:t xml:space="preserve">π</m:t>
            </m:r>
            <m:rad>
              <m:radPr>
                <m:degHide m:val="1"/>
              </m:radPr>
              <m:deg/>
              <m:e>
                <m:r>
                  <m:t xml:space="preserve">L</m:t>
                </m:r>
                <m:r>
                  <m:t xml:space="preserve">C</m:t>
                </m:r>
              </m:e>
            </m:rad>
          </m:den>
        </m:f>
      </m:oMath>
      <w:r>
        <w:rPr>
          <w:rFonts w:ascii="Times New Roman" w:hAnsi="Times New Roman" w:cs="Times New Roman"/>
          <w:sz w:val="24"/>
          <w:szCs w:val="24"/>
        </w:rPr>
        <w:tab/>
        <w:t>(1)</w:t>
      </w:r>
    </w:p>
    <w:p>
      <w:pPr>
        <w:jc w:val="both"/>
      </w:pPr>
      <w:r>
        <w:rPr>
          <w:rFonts w:ascii="Times New Roman" w:hAnsi="Times New Roman" w:cs="Times New Roman"/>
          <w:sz w:val="24"/>
          <w:szCs w:val="24"/>
        </w:rPr>
        <w:t>Near f</w:t>
      </w:r>
      <w:r>
        <w:rPr>
          <w:rFonts w:ascii="Times New Roman" w:hAnsi="Times New Roman" w:cs="Times New Roman"/>
          <w:sz w:val="24"/>
          <w:szCs w:val="24"/>
          <w:vertAlign w:val="subscript"/>
        </w:rPr>
        <w:t>0</w:t>
      </w:r>
      <w:r>
        <w:rPr>
          <w:rFonts w:ascii="Times New Roman" w:hAnsi="Times New Roman" w:cs="Times New Roman"/>
          <w:sz w:val="24"/>
          <w:szCs w:val="24"/>
        </w:rPr>
        <w:t xml:space="preserve"> the SRR responds strongly to the incident magnetic field; arrays of SRRs formed the first negative-index metamaterial [8]. Because L and C follow from the ring size, trace width and split width, the resonance is tuned by geometry alone.</w:t>
      </w:r>
    </w:p>
    <w:p>
      <w:pPr>
        <w:keepNext/>
        <w:jc w:val="both"/>
      </w:pPr>
      <w:r>
        <w:rPr>
          <w:rFonts w:ascii="Times New Roman" w:hAnsi="Times New Roman" w:cs="Times New Roman"/>
          <w:sz w:val="24"/>
          <w:szCs w:val="24"/>
        </w:rPr>
        <w:t>When a reflector is placed a distance h behind an antenna, the wave radiated backwards returns to the antenna plane after a round trip of 2h and a reflection phase φ</w:t>
      </w:r>
      <w:r>
        <w:rPr>
          <w:rFonts w:ascii="Times New Roman" w:hAnsi="Times New Roman" w:cs="Times New Roman"/>
          <w:sz w:val="24"/>
          <w:szCs w:val="24"/>
          <w:vertAlign w:val="subscript"/>
        </w:rPr>
        <w:t>R</w:t>
      </w:r>
      <w:r>
        <w:rPr>
          <w:rFonts w:ascii="Times New Roman" w:hAnsi="Times New Roman" w:cs="Times New Roman"/>
          <w:sz w:val="24"/>
          <w:szCs w:val="24"/>
        </w:rPr>
        <w:t>. It adds constructively to the forward wave when</w:t>
      </w:r>
    </w:p>
    <w:p>
      <w:pPr>
        <w:tabs>
          <w:tab w:pos="4320" w:val="center"/>
          <w:tab w:pos="8640" w:val="right"/>
        </w:tabs>
      </w:pPr>
      <w:r>
        <w:rPr>
          <w:rFonts w:ascii="Times New Roman" w:hAnsi="Times New Roman" w:cs="Times New Roman"/>
          <w:sz w:val="24"/>
          <w:szCs w:val="24"/>
        </w:rPr>
        <w:tab/>
      </w:r>
      <m:oMath>
        <m:sSub>
          <m:e>
            <m:r>
              <m:t xml:space="preserve">φ</m:t>
            </m:r>
          </m:e>
          <m:sub>
            <m:r>
              <m:rPr>
                <m:sty m:val="p"/>
              </m:rPr>
              <m:t xml:space="preserve">R</m:t>
            </m:r>
          </m:sub>
        </m:sSub>
        <m:r>
          <m:rPr>
            <m:sty m:val="p"/>
          </m:rPr>
          <m:t xml:space="preserve">−2</m:t>
        </m:r>
        <m:sSub>
          <m:e>
            <m:r>
              <m:t xml:space="preserve">k</m:t>
            </m:r>
          </m:e>
          <m:sub>
            <m:r>
              <m:rPr>
                <m:sty m:val="p"/>
              </m:rPr>
              <m:t xml:space="preserve">0</m:t>
            </m:r>
          </m:sub>
        </m:sSub>
        <m:r>
          <m:t xml:space="preserve">h</m:t>
        </m:r>
        <m:r>
          <m:rPr>
            <m:sty m:val="p"/>
          </m:rPr>
          <m:t xml:space="preserve">=2</m:t>
        </m:r>
        <m:r>
          <m:t xml:space="preserve">n</m:t>
        </m:r>
        <m:r>
          <m:t xml:space="preserve">π</m:t>
        </m:r>
      </m:oMath>
      <w:r>
        <w:rPr>
          <w:rFonts w:ascii="Times New Roman" w:hAnsi="Times New Roman" w:cs="Times New Roman"/>
          <w:sz w:val="24"/>
          <w:szCs w:val="24"/>
        </w:rPr>
        <w:tab/>
        <w:t>(2)</w:t>
      </w:r>
    </w:p>
    <w:p>
      <w:pPr>
        <w:jc w:val="both"/>
      </w:pPr>
      <w:r>
        <w:rPr>
          <w:rFonts w:ascii="Times New Roman" w:hAnsi="Times New Roman" w:cs="Times New Roman"/>
          <w:sz w:val="24"/>
          <w:szCs w:val="24"/>
        </w:rPr>
        <w:t>where k</w:t>
      </w:r>
      <w:r>
        <w:rPr>
          <w:rFonts w:ascii="Times New Roman" w:hAnsi="Times New Roman" w:cs="Times New Roman"/>
          <w:sz w:val="24"/>
          <w:szCs w:val="24"/>
          <w:vertAlign w:val="subscript"/>
        </w:rPr>
        <w:t>0</w:t>
      </w:r>
      <w:r>
        <w:rPr>
          <w:rFonts w:ascii="Times New Roman" w:hAnsi="Times New Roman" w:cs="Times New Roman"/>
          <w:sz w:val="24"/>
          <w:szCs w:val="24"/>
        </w:rPr>
        <w:t xml:space="preserve"> = 2π/λ</w:t>
      </w:r>
      <w:r>
        <w:rPr>
          <w:rFonts w:ascii="Times New Roman" w:hAnsi="Times New Roman" w:cs="Times New Roman"/>
          <w:sz w:val="24"/>
          <w:szCs w:val="24"/>
          <w:vertAlign w:val="subscript"/>
        </w:rPr>
        <w:t>0</w:t>
      </w:r>
      <w:r>
        <w:rPr>
          <w:rFonts w:ascii="Times New Roman" w:hAnsi="Times New Roman" w:cs="Times New Roman"/>
          <w:sz w:val="24"/>
          <w:szCs w:val="24"/>
        </w:rPr>
        <w:t xml:space="preserve"> is the free-space wavenumber and n is an integer. A metal (PEC) plate reflects with φ</w:t>
      </w:r>
      <w:r>
        <w:rPr>
          <w:rFonts w:ascii="Times New Roman" w:hAnsi="Times New Roman" w:cs="Times New Roman"/>
          <w:sz w:val="24"/>
          <w:szCs w:val="24"/>
          <w:vertAlign w:val="subscript"/>
        </w:rPr>
        <w:t>R</w:t>
      </w:r>
      <w:r>
        <w:rPr>
          <w:rFonts w:ascii="Times New Roman" w:hAnsi="Times New Roman" w:cs="Times New Roman"/>
          <w:sz w:val="24"/>
          <w:szCs w:val="24"/>
        </w:rPr>
        <w:t xml:space="preserve"> = 180°, so (2) requires h = λ</w:t>
      </w:r>
      <w:r>
        <w:rPr>
          <w:rFonts w:ascii="Times New Roman" w:hAnsi="Times New Roman" w:cs="Times New Roman"/>
          <w:sz w:val="24"/>
          <w:szCs w:val="24"/>
          <w:vertAlign w:val="subscript"/>
        </w:rPr>
        <w:t>0</w:t>
      </w:r>
      <w:r>
        <w:rPr>
          <w:rFonts w:ascii="Times New Roman" w:hAnsi="Times New Roman" w:cs="Times New Roman"/>
          <w:sz w:val="24"/>
          <w:szCs w:val="24"/>
        </w:rPr>
        <w:t>/4, which is 24.2 mm at 3.1 GHz, and a fixed gap meets that condition at one frequency only. A high-impedance surface, or artificial magnetic conductor (AMC), reflects in phase (φ</w:t>
      </w:r>
      <w:r>
        <w:rPr>
          <w:rFonts w:ascii="Times New Roman" w:hAnsi="Times New Roman" w:cs="Times New Roman"/>
          <w:sz w:val="24"/>
          <w:szCs w:val="24"/>
          <w:vertAlign w:val="subscript"/>
        </w:rPr>
        <w:t>R</w:t>
      </w:r>
      <w:r>
        <w:rPr>
          <w:rFonts w:ascii="Times New Roman" w:hAnsi="Times New Roman" w:cs="Times New Roman"/>
          <w:sz w:val="24"/>
          <w:szCs w:val="24"/>
        </w:rPr>
        <w:t xml:space="preserve"> ≈ 0°) near its resonance [9]; its useful band is usually taken as the range where φ</w:t>
      </w:r>
      <w:r>
        <w:rPr>
          <w:rFonts w:ascii="Times New Roman" w:hAnsi="Times New Roman" w:cs="Times New Roman"/>
          <w:sz w:val="24"/>
          <w:szCs w:val="24"/>
          <w:vertAlign w:val="subscript"/>
        </w:rPr>
        <w:t>R</w:t>
      </w:r>
      <w:r>
        <w:rPr>
          <w:rFonts w:ascii="Times New Roman" w:hAnsi="Times New Roman" w:cs="Times New Roman"/>
          <w:sz w:val="24"/>
          <w:szCs w:val="24"/>
        </w:rPr>
        <w:t xml:space="preserve"> stays within ±90° [10]. An in-phase reflector can therefore sit much closer to the antenna, which gives a low-profile, unidirectional antenna with higher gain.</w:t>
      </w:r>
    </w:p>
    <w:p>
      <w:pPr>
        <w:pStyle w:val="Heading1"/>
        <w:rPr>
          <w:rFonts w:ascii="Times New Roman" w:hAnsi="Times New Roman" w:cs="Times New Roman"/>
          <w:sz w:val="24"/>
          <w:szCs w:val="24"/>
        </w:rPr>
      </w:pPr>
      <w:r>
        <w:rPr>
          <w:rFonts w:ascii="Times New Roman" w:hAnsi="Times New Roman" w:cs="Times New Roman"/>
          <w:sz w:val="24"/>
          <w:szCs w:val="24"/>
        </w:rPr>
        <w:t>Single Antennas with a Metasurface Reflector</w:t>
      </w:r>
    </w:p>
    <w:p>
      <w:pPr>
        <w:pStyle w:val="Heading2"/>
        <w:rPr>
          <w:rFonts w:ascii="Times New Roman" w:hAnsi="Times New Roman" w:cs="Times New Roman"/>
          <w:sz w:val="24"/>
          <w:szCs w:val="24"/>
        </w:rPr>
      </w:pPr>
      <w:r>
        <w:rPr>
          <w:rFonts w:ascii="Times New Roman" w:hAnsi="Times New Roman" w:cs="Times New Roman"/>
          <w:i/>
          <w:sz w:val="24"/>
          <w:szCs w:val="24"/>
        </w:rPr>
        <w:t>Sen et al. (2017) [11]</w:t>
      </w:r>
    </w:p>
    <w:p>
      <w:pPr>
        <w:jc w:val="both"/>
      </w:pPr>
      <w:r>
        <w:rPr>
          <w:rFonts w:ascii="Times New Roman" w:hAnsi="Times New Roman" w:cs="Times New Roman"/>
          <w:b/>
          <w:sz w:val="24"/>
          <w:szCs w:val="24"/>
        </w:rPr>
        <w:t>Problem.</w:t>
      </w:r>
      <w:r>
        <w:rPr>
          <w:rFonts w:ascii="Times New Roman" w:hAnsi="Times New Roman" w:cs="Times New Roman"/>
          <w:sz w:val="24"/>
          <w:szCs w:val="24"/>
        </w:rPr>
        <w:t xml:space="preserve"> A UWB printed monopole radiates on both sides of the board and its gain is low. </w:t>
      </w:r>
      <w:r>
        <w:rPr>
          <w:rFonts w:ascii="Times New Roman" w:hAnsi="Times New Roman" w:cs="Times New Roman"/>
          <w:b/>
          <w:sz w:val="24"/>
          <w:szCs w:val="24"/>
        </w:rPr>
        <w:t>Method.</w:t>
      </w:r>
      <w:r>
        <w:rPr>
          <w:rFonts w:ascii="Times New Roman" w:hAnsi="Times New Roman" w:cs="Times New Roman"/>
          <w:sz w:val="24"/>
          <w:szCs w:val="24"/>
        </w:rPr>
        <w:t xml:space="preserve"> A circular-patch UWB monopole is backed by a metasurface of double split-ring patches whose split angle changes from column to column, so that the surface reflects in phase over a broad band without disturbing the antenna’s impedance bandwidth. </w:t>
      </w:r>
      <w:r>
        <w:rPr>
          <w:rFonts w:ascii="Times New Roman" w:hAnsi="Times New Roman" w:cs="Times New Roman"/>
          <w:b/>
          <w:sz w:val="24"/>
          <w:szCs w:val="24"/>
        </w:rPr>
        <w:t>Results.</w:t>
      </w:r>
      <w:r>
        <w:rPr>
          <w:rFonts w:ascii="Times New Roman" w:hAnsi="Times New Roman" w:cs="Times New Roman"/>
          <w:sz w:val="24"/>
          <w:szCs w:val="24"/>
        </w:rPr>
        <w:t xml:space="preserve"> The gain rises by nearly 5.5 dB across the UWB range with a low-profile antenna-to-reflector gap, and measurements agree with simulation. </w:t>
      </w:r>
      <w:r>
        <w:rPr>
          <w:rFonts w:ascii="Times New Roman" w:hAnsi="Times New Roman" w:cs="Times New Roman"/>
          <w:b/>
          <w:sz w:val="24"/>
          <w:szCs w:val="24"/>
        </w:rPr>
        <w:t>Relevance.</w:t>
      </w:r>
      <w:r>
        <w:rPr>
          <w:rFonts w:ascii="Times New Roman" w:hAnsi="Times New Roman" w:cs="Times New Roman"/>
          <w:sz w:val="24"/>
          <w:szCs w:val="24"/>
        </w:rPr>
        <w:t xml:space="preserve"> The only reviewed design with split-ring cells behind a UWB monopole, the cell type chosen in this project. Varying the split angle across the array is one way to widen the in-phase band that a single SRR resonance cannot cover.</w:t>
      </w:r>
    </w:p>
    <w:p>
      <w:pPr>
        <w:pStyle w:val="Heading2"/>
        <w:rPr>
          <w:rFonts w:ascii="Times New Roman" w:hAnsi="Times New Roman" w:cs="Times New Roman"/>
          <w:sz w:val="24"/>
          <w:szCs w:val="24"/>
        </w:rPr>
      </w:pPr>
      <w:r>
        <w:rPr>
          <w:rFonts w:ascii="Times New Roman" w:hAnsi="Times New Roman" w:cs="Times New Roman"/>
          <w:i/>
          <w:sz w:val="24"/>
          <w:szCs w:val="24"/>
        </w:rPr>
        <w:t>Al-Gburi et al. (2022) [12]</w:t>
      </w:r>
    </w:p>
    <w:p>
      <w:pPr>
        <w:jc w:val="both"/>
      </w:pPr>
      <w:r>
        <w:rPr>
          <w:rFonts w:ascii="Times New Roman" w:hAnsi="Times New Roman" w:cs="Times New Roman"/>
          <w:b/>
          <w:sz w:val="24"/>
          <w:szCs w:val="24"/>
        </w:rPr>
        <w:t>Problem.</w:t>
      </w:r>
      <w:r>
        <w:rPr>
          <w:rFonts w:ascii="Times New Roman" w:hAnsi="Times New Roman" w:cs="Times New Roman"/>
          <w:sz w:val="24"/>
          <w:szCs w:val="24"/>
        </w:rPr>
        <w:t xml:space="preserve"> A planar UWB antenna radiates on both sides, so its gain is low and changes across the band. </w:t>
      </w:r>
      <w:r>
        <w:rPr>
          <w:rFonts w:ascii="Times New Roman" w:hAnsi="Times New Roman" w:cs="Times New Roman"/>
          <w:b/>
          <w:sz w:val="24"/>
          <w:szCs w:val="24"/>
        </w:rPr>
        <w:t>Method.</w:t>
      </w:r>
      <w:r>
        <w:rPr>
          <w:rFonts w:ascii="Times New Roman" w:hAnsi="Times New Roman" w:cs="Times New Roman"/>
          <w:sz w:val="24"/>
          <w:szCs w:val="24"/>
        </w:rPr>
        <w:t xml:space="preserve"> A CPW-fed “Mercedes”-shaped ring monopole (50 × 50 × 1.6 mm, FR-4, grown from a 15 mm-radius disc) is mounted above a single-layer 19 × 19 FSS of 5 mm cells (two metal patches joined by a circular loop) with a ground plane behind it; the FSS has a stopband from 2.2 to 12.7 GHz and a reflection phase that falls linearly with frequency. </w:t>
      </w:r>
      <w:r>
        <w:rPr>
          <w:rFonts w:ascii="Times New Roman" w:hAnsi="Times New Roman" w:cs="Times New Roman"/>
          <w:b/>
          <w:sz w:val="24"/>
          <w:szCs w:val="24"/>
        </w:rPr>
        <w:t>Results.</w:t>
      </w:r>
      <w:r>
        <w:rPr>
          <w:rFonts w:ascii="Times New Roman" w:hAnsi="Times New Roman" w:cs="Times New Roman"/>
          <w:sz w:val="24"/>
          <w:szCs w:val="24"/>
        </w:rPr>
        <w:t xml:space="preserve"> The antenna alone covers 2.1–12.6 GHz with a 6.7 dB peak gain. With the reflector the measured band is 2.2–11.9 GHz and the gain stays between 8.3 and 11.5 dB (11.3 dB measured at 8.5 GHz), while radiation efficiency falls from 97 % to 89 % at 9.8 GHz; the total profile is 10 mm. </w:t>
      </w:r>
      <w:r>
        <w:rPr>
          <w:rFonts w:ascii="Times New Roman" w:hAnsi="Times New Roman" w:cs="Times New Roman"/>
          <w:b/>
          <w:sz w:val="24"/>
          <w:szCs w:val="24"/>
        </w:rPr>
        <w:t>Relevance.</w:t>
      </w:r>
      <w:r>
        <w:rPr>
          <w:rFonts w:ascii="Times New Roman" w:hAnsi="Times New Roman" w:cs="Times New Roman"/>
          <w:sz w:val="24"/>
          <w:szCs w:val="24"/>
        </w:rPr>
        <w:t xml:space="preserve"> Closest in geometry to this project (CPW-fed monopole grown from a 15 mm-radius disc on 1.6 mm FR-4). It shows that a reflection phase falling with frequency keeps the gain stable over UWB, but it needs about 10 mm of profile, versus 3.9 mm here.</w:t>
      </w:r>
    </w:p>
    <w:p>
      <w:pPr>
        <w:pStyle w:val="Heading2"/>
        <w:rPr>
          <w:rFonts w:ascii="Times New Roman" w:hAnsi="Times New Roman" w:cs="Times New Roman"/>
          <w:sz w:val="24"/>
          <w:szCs w:val="24"/>
        </w:rPr>
      </w:pPr>
      <w:r>
        <w:rPr>
          <w:rFonts w:ascii="Times New Roman" w:hAnsi="Times New Roman" w:cs="Times New Roman"/>
          <w:i/>
          <w:sz w:val="24"/>
          <w:szCs w:val="24"/>
        </w:rPr>
        <w:t>Hussain et al. (2023) [13]</w:t>
      </w:r>
    </w:p>
    <w:p>
      <w:pPr>
        <w:jc w:val="both"/>
      </w:pPr>
      <w:r>
        <w:rPr>
          <w:rFonts w:ascii="Times New Roman" w:hAnsi="Times New Roman" w:cs="Times New Roman"/>
          <w:b/>
          <w:sz w:val="24"/>
          <w:szCs w:val="24"/>
        </w:rPr>
        <w:t>Problem.</w:t>
      </w:r>
      <w:r>
        <w:rPr>
          <w:rFonts w:ascii="Times New Roman" w:hAnsi="Times New Roman" w:cs="Times New Roman"/>
          <w:sz w:val="24"/>
          <w:szCs w:val="24"/>
        </w:rPr>
        <w:t xml:space="preserve"> Compact printed UWB antennas have modest gain, and the multi-layer reflectors used to raise it make the structure large and complex. </w:t>
      </w:r>
      <w:r>
        <w:rPr>
          <w:rFonts w:ascii="Times New Roman" w:hAnsi="Times New Roman" w:cs="Times New Roman"/>
          <w:b/>
          <w:sz w:val="24"/>
          <w:szCs w:val="24"/>
        </w:rPr>
        <w:t>Method.</w:t>
      </w:r>
      <w:r>
        <w:rPr>
          <w:rFonts w:ascii="Times New Roman" w:hAnsi="Times New Roman" w:cs="Times New Roman"/>
          <w:sz w:val="24"/>
          <w:szCs w:val="24"/>
        </w:rPr>
        <w:t xml:space="preserve"> A CPW-fed hexagonal patch with stub loading (32 × 25 × 1.52 mm, Rogers RT/Duroid 6002) is backed by a single-layer 5 × 5 frequency selective surface of rings joined to a square frame (50 × 50 mm), placed 9 mm behind the antenna on a foam spacer. The gap is chosen from the in-phase condition φ − 2βG = 2nπ, the same relation used in this project. </w:t>
      </w:r>
      <w:r>
        <w:rPr>
          <w:rFonts w:ascii="Times New Roman" w:hAnsi="Times New Roman" w:cs="Times New Roman"/>
          <w:b/>
          <w:sz w:val="24"/>
          <w:szCs w:val="24"/>
        </w:rPr>
        <w:t>Results.</w:t>
      </w:r>
      <w:r>
        <w:rPr>
          <w:rFonts w:ascii="Times New Roman" w:hAnsi="Times New Roman" w:cs="Times New Roman"/>
          <w:sz w:val="24"/>
          <w:szCs w:val="24"/>
        </w:rPr>
        <w:t xml:space="preserve"> The reflector widens the band from 5–17 GHz to 3–18 GHz and raises the peak gain from 6.5 dBi to 10.5 dBi (the text also quotes 10.75 dBi and 11 dBi at 8 GHz and 13.5 GHz), with more than 10 dBi across the band and radiation efficiency above 78 %. Measured and simulated results agree. </w:t>
      </w:r>
      <w:r>
        <w:rPr>
          <w:rFonts w:ascii="Times New Roman" w:hAnsi="Times New Roman" w:cs="Times New Roman"/>
          <w:b/>
          <w:sz w:val="24"/>
          <w:szCs w:val="24"/>
        </w:rPr>
        <w:t>Relevance.</w:t>
      </w:r>
      <w:r>
        <w:rPr>
          <w:rFonts w:ascii="Times New Roman" w:hAnsi="Times New Roman" w:cs="Times New Roman"/>
          <w:sz w:val="24"/>
          <w:szCs w:val="24"/>
        </w:rPr>
        <w:t xml:space="preserve"> One reflector layer adds about 4–6 dB over a UWB band, but at a 9 mm gap (0.09λ at 3 GHz), more than twice the 3.9 mm gap of this project, and with a low-loss Rogers substrate.</w:t>
      </w:r>
    </w:p>
    <w:p>
      <w:pPr>
        <w:pStyle w:val="Heading2"/>
        <w:rPr>
          <w:rFonts w:ascii="Times New Roman" w:hAnsi="Times New Roman" w:cs="Times New Roman"/>
          <w:sz w:val="24"/>
          <w:szCs w:val="24"/>
        </w:rPr>
      </w:pPr>
      <w:r>
        <w:rPr>
          <w:rFonts w:ascii="Times New Roman" w:hAnsi="Times New Roman" w:cs="Times New Roman"/>
          <w:i/>
          <w:sz w:val="24"/>
          <w:szCs w:val="24"/>
        </w:rPr>
        <w:t>Hammache et al. (2024) [14]</w:t>
      </w:r>
    </w:p>
    <w:p>
      <w:pPr>
        <w:jc w:val="both"/>
      </w:pPr>
      <w:r>
        <w:rPr>
          <w:rFonts w:ascii="Times New Roman" w:hAnsi="Times New Roman" w:cs="Times New Roman"/>
          <w:b/>
          <w:sz w:val="24"/>
          <w:szCs w:val="24"/>
        </w:rPr>
        <w:t>Problem.</w:t>
      </w:r>
      <w:r>
        <w:rPr>
          <w:rFonts w:ascii="Times New Roman" w:hAnsi="Times New Roman" w:cs="Times New Roman"/>
          <w:sz w:val="24"/>
          <w:szCs w:val="24"/>
        </w:rPr>
        <w:t xml:space="preserve"> A compact UWB antenna has low gain and a near-omnidirectional pattern. </w:t>
      </w:r>
      <w:r>
        <w:rPr>
          <w:rFonts w:ascii="Times New Roman" w:hAnsi="Times New Roman" w:cs="Times New Roman"/>
          <w:b/>
          <w:sz w:val="24"/>
          <w:szCs w:val="24"/>
        </w:rPr>
        <w:t>Method.</w:t>
      </w:r>
      <w:r>
        <w:rPr>
          <w:rFonts w:ascii="Times New Roman" w:hAnsi="Times New Roman" w:cs="Times New Roman"/>
          <w:sz w:val="24"/>
          <w:szCs w:val="24"/>
        </w:rPr>
        <w:t xml:space="preserve"> A 30 × 30 mm hexagonal CPW-fed UWB antenna is placed 20 mm above a single-layer FSS of 7 × 7 small (8 × 8 mm) cells that stops 3–11.5 GHz. </w:t>
      </w:r>
      <w:r>
        <w:rPr>
          <w:rFonts w:ascii="Times New Roman" w:hAnsi="Times New Roman" w:cs="Times New Roman"/>
          <w:b/>
          <w:sz w:val="24"/>
          <w:szCs w:val="24"/>
        </w:rPr>
        <w:t>Results.</w:t>
      </w:r>
      <w:r>
        <w:rPr>
          <w:rFonts w:ascii="Times New Roman" w:hAnsi="Times New Roman" w:cs="Times New Roman"/>
          <w:sz w:val="24"/>
          <w:szCs w:val="24"/>
        </w:rPr>
        <w:t xml:space="preserve"> Realized gain rises from 2.2 dBi to 8.4 dBi and the radiation becomes directional; measurements agree with simulation. </w:t>
      </w:r>
      <w:r>
        <w:rPr>
          <w:rFonts w:ascii="Times New Roman" w:hAnsi="Times New Roman" w:cs="Times New Roman"/>
          <w:b/>
          <w:sz w:val="24"/>
          <w:szCs w:val="24"/>
        </w:rPr>
        <w:t>Relevance.</w:t>
      </w:r>
      <w:r>
        <w:rPr>
          <w:rFonts w:ascii="Times New Roman" w:hAnsi="Times New Roman" w:cs="Times New Roman"/>
          <w:sz w:val="24"/>
          <w:szCs w:val="24"/>
        </w:rPr>
        <w:t xml:space="preserve"> A recent example of the usual price of a reflector: a 20 mm gap, about five times the 3.9 mm gap of this project.</w:t>
      </w:r>
    </w:p>
    <w:p>
      <w:pPr>
        <w:pStyle w:val="Heading2"/>
        <w:rPr>
          <w:rFonts w:ascii="Times New Roman" w:hAnsi="Times New Roman" w:cs="Times New Roman"/>
          <w:sz w:val="24"/>
          <w:szCs w:val="24"/>
        </w:rPr>
      </w:pPr>
      <w:r>
        <w:rPr>
          <w:rFonts w:ascii="Times New Roman" w:hAnsi="Times New Roman" w:cs="Times New Roman"/>
          <w:i/>
          <w:sz w:val="24"/>
          <w:szCs w:val="24"/>
        </w:rPr>
        <w:t>AboEl-Hassan et al. (2025) [15]</w:t>
      </w:r>
    </w:p>
    <w:p>
      <w:pPr>
        <w:jc w:val="both"/>
      </w:pPr>
      <w:r>
        <w:rPr>
          <w:rFonts w:ascii="Times New Roman" w:hAnsi="Times New Roman" w:cs="Times New Roman"/>
          <w:b/>
          <w:sz w:val="24"/>
          <w:szCs w:val="24"/>
        </w:rPr>
        <w:t>Problem.</w:t>
      </w:r>
      <w:r>
        <w:rPr>
          <w:rFonts w:ascii="Times New Roman" w:hAnsi="Times New Roman" w:cs="Times New Roman"/>
          <w:sz w:val="24"/>
          <w:szCs w:val="24"/>
        </w:rPr>
        <w:t xml:space="preserve"> A printed monopole radiates almost omnidirectionally with low gain, and a metal reflector must sit a quarter wavelength away to avoid cancelling the forward wave. </w:t>
      </w:r>
      <w:r>
        <w:rPr>
          <w:rFonts w:ascii="Times New Roman" w:hAnsi="Times New Roman" w:cs="Times New Roman"/>
          <w:b/>
          <w:sz w:val="24"/>
          <w:szCs w:val="24"/>
        </w:rPr>
        <w:t>Method.</w:t>
      </w:r>
      <w:r>
        <w:rPr>
          <w:rFonts w:ascii="Times New Roman" w:hAnsi="Times New Roman" w:cs="Times New Roman"/>
          <w:sz w:val="24"/>
          <w:szCs w:val="24"/>
        </w:rPr>
        <w:t xml:space="preserve"> A CPW-fed octagonal monopole with an inverted U-slot (27 × 37 mm, Rogers RT5880) is placed over an artificial magnetic conductor surface of 5 × 5 cells (70 × 70 mm, on RO4003C with a full ground plane) designed for 0° reflection at 7.44 GHz, with an air gap between them. </w:t>
      </w:r>
      <w:r>
        <w:rPr>
          <w:rFonts w:ascii="Times New Roman" w:hAnsi="Times New Roman" w:cs="Times New Roman"/>
          <w:b/>
          <w:sz w:val="24"/>
          <w:szCs w:val="24"/>
        </w:rPr>
        <w:t>Results.</w:t>
      </w:r>
      <w:r>
        <w:rPr>
          <w:rFonts w:ascii="Times New Roman" w:hAnsi="Times New Roman" w:cs="Times New Roman"/>
          <w:sz w:val="24"/>
          <w:szCs w:val="24"/>
        </w:rPr>
        <w:t xml:space="preserve"> Over 3.5–6.5 GHz the antenna with the AMC reaches a realized gain of up to 11.5 dBi (the abstract also quotes a maximum gain of 9.9 dBi), total efficiency above 80 % and cross-polarization below −30 dB; prototypes were fabricated and measured. </w:t>
      </w:r>
      <w:r>
        <w:rPr>
          <w:rFonts w:ascii="Times New Roman" w:hAnsi="Times New Roman" w:cs="Times New Roman"/>
          <w:b/>
          <w:sz w:val="24"/>
          <w:szCs w:val="24"/>
        </w:rPr>
        <w:t>Relevance.</w:t>
      </w:r>
      <w:r>
        <w:rPr>
          <w:rFonts w:ascii="Times New Roman" w:hAnsi="Times New Roman" w:cs="Times New Roman"/>
          <w:sz w:val="24"/>
          <w:szCs w:val="24"/>
        </w:rPr>
        <w:t xml:space="preserve"> The same configuration as this project (CPW-fed octagonal monopole, ground-backed metasurface, air gap), but over a much narrower 3.5–6.5 GHz band, which shows how hard it is to keep in-phase reflection across all of UWB.</w:t>
      </w:r>
    </w:p>
    <w:p>
      <w:pPr>
        <w:pStyle w:val="Heading1"/>
        <w:rPr>
          <w:rFonts w:ascii="Times New Roman" w:hAnsi="Times New Roman" w:cs="Times New Roman"/>
          <w:sz w:val="24"/>
          <w:szCs w:val="24"/>
        </w:rPr>
      </w:pPr>
      <w:r>
        <w:rPr>
          <w:rFonts w:ascii="Times New Roman" w:hAnsi="Times New Roman" w:cs="Times New Roman"/>
          <w:sz w:val="24"/>
          <w:szCs w:val="24"/>
        </w:rPr>
        <w:t>MIMO Antennas with Metasurfaces</w:t>
      </w:r>
    </w:p>
    <w:p>
      <w:pPr>
        <w:pStyle w:val="Heading2"/>
        <w:rPr>
          <w:rFonts w:ascii="Times New Roman" w:hAnsi="Times New Roman" w:cs="Times New Roman"/>
          <w:sz w:val="24"/>
          <w:szCs w:val="24"/>
        </w:rPr>
      </w:pPr>
      <w:r>
        <w:rPr>
          <w:rFonts w:ascii="Times New Roman" w:hAnsi="Times New Roman" w:cs="Times New Roman"/>
          <w:i/>
          <w:sz w:val="24"/>
          <w:szCs w:val="24"/>
        </w:rPr>
        <w:t>Sufian et al. (2021) [16]</w:t>
      </w:r>
    </w:p>
    <w:p>
      <w:pPr>
        <w:jc w:val="both"/>
      </w:pPr>
      <w:r>
        <w:rPr>
          <w:rFonts w:ascii="Times New Roman" w:hAnsi="Times New Roman" w:cs="Times New Roman"/>
          <w:b/>
          <w:sz w:val="24"/>
          <w:szCs w:val="24"/>
        </w:rPr>
        <w:t>Problem.</w:t>
      </w:r>
      <w:r>
        <w:rPr>
          <w:rFonts w:ascii="Times New Roman" w:hAnsi="Times New Roman" w:cs="Times New Roman"/>
          <w:sz w:val="24"/>
          <w:szCs w:val="24"/>
        </w:rPr>
        <w:t xml:space="preserve"> Closely spaced MIMO elements couple strongly, which degrades isolation and diversity. </w:t>
      </w:r>
      <w:r>
        <w:rPr>
          <w:rFonts w:ascii="Times New Roman" w:hAnsi="Times New Roman" w:cs="Times New Roman"/>
          <w:b/>
          <w:sz w:val="24"/>
          <w:szCs w:val="24"/>
        </w:rPr>
        <w:t>Method.</w:t>
      </w:r>
      <w:r>
        <w:rPr>
          <w:rFonts w:ascii="Times New Roman" w:hAnsi="Times New Roman" w:cs="Times New Roman"/>
          <w:sz w:val="24"/>
          <w:szCs w:val="24"/>
        </w:rPr>
        <w:t xml:space="preserve"> Each element is a patch sandwiched between a 4 × 4 square-patch metasurface and the ground; four elements are rotated orthogonally in a 2 × 2 layout for the 5G n78 band. Slots in the ground and metal strips on the metasurface layer, shorted to the ground with pins, suppress the coupling. </w:t>
      </w:r>
      <w:r>
        <w:rPr>
          <w:rFonts w:ascii="Times New Roman" w:hAnsi="Times New Roman" w:cs="Times New Roman"/>
          <w:b/>
          <w:sz w:val="24"/>
          <w:szCs w:val="24"/>
        </w:rPr>
        <w:t>Results.</w:t>
      </w:r>
      <w:r>
        <w:rPr>
          <w:rFonts w:ascii="Times New Roman" w:hAnsi="Times New Roman" w:cs="Times New Roman"/>
          <w:sz w:val="24"/>
          <w:szCs w:val="24"/>
        </w:rPr>
        <w:t xml:space="preserve"> The 4-port antenna covers 3.3–3.87 GHz with isolation above 32 dB, ECC below 0.001 and diversity gain of 9.99 dB. The metasurface raises the element gain from 6.3 dBi to 8.1 dBi (8.72 dBi for the array) and the radiation efficiency from below 83 % to above 92 %. </w:t>
      </w:r>
      <w:r>
        <w:rPr>
          <w:rFonts w:ascii="Times New Roman" w:hAnsi="Times New Roman" w:cs="Times New Roman"/>
          <w:b/>
          <w:sz w:val="24"/>
          <w:szCs w:val="24"/>
        </w:rPr>
        <w:t>Relevance.</w:t>
      </w:r>
      <w:r>
        <w:rPr>
          <w:rFonts w:ascii="Times New Roman" w:hAnsi="Times New Roman" w:cs="Times New Roman"/>
          <w:sz w:val="24"/>
          <w:szCs w:val="24"/>
        </w:rPr>
        <w:t xml:space="preserve"> Shows that the metasurface layer can also carry the decoupling structure; its band (about 16 %) is far narrower than UWB.</w:t>
      </w:r>
    </w:p>
    <w:p>
      <w:pPr>
        <w:pStyle w:val="Heading2"/>
        <w:rPr>
          <w:rFonts w:ascii="Times New Roman" w:hAnsi="Times New Roman" w:cs="Times New Roman"/>
          <w:sz w:val="24"/>
          <w:szCs w:val="24"/>
        </w:rPr>
      </w:pPr>
      <w:r>
        <w:rPr>
          <w:rFonts w:ascii="Times New Roman" w:hAnsi="Times New Roman" w:cs="Times New Roman"/>
          <w:i/>
          <w:sz w:val="24"/>
          <w:szCs w:val="24"/>
        </w:rPr>
        <w:t>Sehrai et al. (2021) [17]</w:t>
      </w:r>
    </w:p>
    <w:p>
      <w:pPr>
        <w:jc w:val="both"/>
      </w:pPr>
      <w:r>
        <w:rPr>
          <w:rFonts w:ascii="Times New Roman" w:hAnsi="Times New Roman" w:cs="Times New Roman"/>
          <w:b/>
          <w:sz w:val="24"/>
          <w:szCs w:val="24"/>
        </w:rPr>
        <w:t>Problem.</w:t>
      </w:r>
      <w:r>
        <w:rPr>
          <w:rFonts w:ascii="Times New Roman" w:hAnsi="Times New Roman" w:cs="Times New Roman"/>
          <w:sz w:val="24"/>
          <w:szCs w:val="24"/>
        </w:rPr>
        <w:t xml:space="preserve"> Millimetre-wave 5G antennas must be compact, wideband and high-gain to overcome path loss. </w:t>
      </w:r>
      <w:r>
        <w:rPr>
          <w:rFonts w:ascii="Times New Roman" w:hAnsi="Times New Roman" w:cs="Times New Roman"/>
          <w:b/>
          <w:sz w:val="24"/>
          <w:szCs w:val="24"/>
        </w:rPr>
        <w:t>Method.</w:t>
      </w:r>
      <w:r>
        <w:rPr>
          <w:rFonts w:ascii="Times New Roman" w:hAnsi="Times New Roman" w:cs="Times New Roman"/>
          <w:sz w:val="24"/>
          <w:szCs w:val="24"/>
        </w:rPr>
        <w:t xml:space="preserve"> Four antenna elements are rotated in 90° steps to form a compact 24 × 24 mm MIMO antenna, and a 2 × 2 non-uniform metasurface placed at the back improves its radiation. </w:t>
      </w:r>
      <w:r>
        <w:rPr>
          <w:rFonts w:ascii="Times New Roman" w:hAnsi="Times New Roman" w:cs="Times New Roman"/>
          <w:b/>
          <w:sz w:val="24"/>
          <w:szCs w:val="24"/>
        </w:rPr>
        <w:t>Results.</w:t>
      </w:r>
      <w:r>
        <w:rPr>
          <w:rFonts w:ascii="Times New Roman" w:hAnsi="Times New Roman" w:cs="Times New Roman"/>
          <w:sz w:val="24"/>
          <w:szCs w:val="24"/>
        </w:rPr>
        <w:t xml:space="preserve"> The antenna covers 23.5–29.4 GHz; the metasurface raises the peak gain from about 7 dB to 10.44 dB with total efficiency above 80 %, ECC, diversity gain and channel capacity loss are reported as good, and measurements agree with simulation. </w:t>
      </w:r>
      <w:r>
        <w:rPr>
          <w:rFonts w:ascii="Times New Roman" w:hAnsi="Times New Roman" w:cs="Times New Roman"/>
          <w:b/>
          <w:sz w:val="24"/>
          <w:szCs w:val="24"/>
        </w:rPr>
        <w:t>Relevance.</w:t>
      </w:r>
      <w:r>
        <w:rPr>
          <w:rFonts w:ascii="Times New Roman" w:hAnsi="Times New Roman" w:cs="Times New Roman"/>
          <w:sz w:val="24"/>
          <w:szCs w:val="24"/>
        </w:rPr>
        <w:t xml:space="preserve"> Uses the two ideas planned for Phase II, 90° rotation of the elements and a metasurface behind the array, at 28 GHz instead of UWB.</w:t>
      </w:r>
    </w:p>
    <w:p>
      <w:pPr>
        <w:pStyle w:val="Heading2"/>
        <w:rPr>
          <w:rFonts w:ascii="Times New Roman" w:hAnsi="Times New Roman" w:cs="Times New Roman"/>
          <w:sz w:val="24"/>
          <w:szCs w:val="24"/>
        </w:rPr>
      </w:pPr>
      <w:r>
        <w:rPr>
          <w:rFonts w:ascii="Times New Roman" w:hAnsi="Times New Roman" w:cs="Times New Roman"/>
          <w:i/>
          <w:sz w:val="24"/>
          <w:szCs w:val="24"/>
        </w:rPr>
        <w:t>Hasan et al. (2022) [18]</w:t>
      </w:r>
    </w:p>
    <w:p>
      <w:pPr>
        <w:jc w:val="both"/>
      </w:pPr>
      <w:r>
        <w:rPr>
          <w:rFonts w:ascii="Times New Roman" w:hAnsi="Times New Roman" w:cs="Times New Roman"/>
          <w:b/>
          <w:sz w:val="24"/>
          <w:szCs w:val="24"/>
        </w:rPr>
        <w:t>Problem.</w:t>
      </w:r>
      <w:r>
        <w:rPr>
          <w:rFonts w:ascii="Times New Roman" w:hAnsi="Times New Roman" w:cs="Times New Roman"/>
          <w:sz w:val="24"/>
          <w:szCs w:val="24"/>
        </w:rPr>
        <w:t xml:space="preserve"> Compact sub-6 GHz MIMO antennas need more gain and isolation without a larger element spacing. </w:t>
      </w:r>
      <w:r>
        <w:rPr>
          <w:rFonts w:ascii="Times New Roman" w:hAnsi="Times New Roman" w:cs="Times New Roman"/>
          <w:b/>
          <w:sz w:val="24"/>
          <w:szCs w:val="24"/>
        </w:rPr>
        <w:t>Method.</w:t>
      </w:r>
      <w:r>
        <w:rPr>
          <w:rFonts w:ascii="Times New Roman" w:hAnsi="Times New Roman" w:cs="Times New Roman"/>
          <w:sz w:val="24"/>
          <w:szCs w:val="24"/>
        </w:rPr>
        <w:t xml:space="preserve"> Four orthogonally rotated, microstrip-fed truncated-corner patches on 1.575 mm Rogers RT5880 sit above a 10 × 10 metasurface of square-enclosed circular split-ring resonators with a copper backplane, which reflects the back radiation (a 12 mm air gap is used in the single-antenna study). </w:t>
      </w:r>
      <w:r>
        <w:rPr>
          <w:rFonts w:ascii="Times New Roman" w:hAnsi="Times New Roman" w:cs="Times New Roman"/>
          <w:b/>
          <w:sz w:val="24"/>
          <w:szCs w:val="24"/>
        </w:rPr>
        <w:t>Results.</w:t>
      </w:r>
      <w:r>
        <w:rPr>
          <w:rFonts w:ascii="Times New Roman" w:hAnsi="Times New Roman" w:cs="Times New Roman"/>
          <w:sz w:val="24"/>
          <w:szCs w:val="24"/>
        </w:rPr>
        <w:t xml:space="preserve"> The fabricated 4-port antenna covers about 3.1–7.7 GHz with isolation above 15.5 dB, ECC below 0.004 and diversity gain above 9.98 dB; the metasurface raises the realized gain from 5.4 dBi to 8.3 dBi with 82 % average total efficiency. The two published author corrections change affiliations only. </w:t>
      </w:r>
      <w:r>
        <w:rPr>
          <w:rFonts w:ascii="Times New Roman" w:hAnsi="Times New Roman" w:cs="Times New Roman"/>
          <w:b/>
          <w:sz w:val="24"/>
          <w:szCs w:val="24"/>
        </w:rPr>
        <w:t>Relevance.</w:t>
      </w:r>
      <w:r>
        <w:rPr>
          <w:rFonts w:ascii="Times New Roman" w:hAnsi="Times New Roman" w:cs="Times New Roman"/>
          <w:sz w:val="24"/>
          <w:szCs w:val="24"/>
        </w:rPr>
        <w:t xml:space="preserve"> The closest MIMO counterpart of this project: a copper-backed split-ring metasurface behind the antennas across an air gap, which is the configuration planned for Phase II, here over a 2.5:1 band rather than UWB.</w:t>
      </w:r>
    </w:p>
    <w:p>
      <w:pPr>
        <w:pStyle w:val="Heading2"/>
        <w:rPr>
          <w:rFonts w:ascii="Times New Roman" w:hAnsi="Times New Roman" w:cs="Times New Roman"/>
          <w:sz w:val="24"/>
          <w:szCs w:val="24"/>
        </w:rPr>
      </w:pPr>
      <w:r>
        <w:rPr>
          <w:rFonts w:ascii="Times New Roman" w:hAnsi="Times New Roman" w:cs="Times New Roman"/>
          <w:i/>
          <w:sz w:val="24"/>
          <w:szCs w:val="24"/>
        </w:rPr>
        <w:t>Althuwayb et al. (2023) [19]</w:t>
      </w:r>
    </w:p>
    <w:p>
      <w:pPr>
        <w:jc w:val="both"/>
      </w:pPr>
      <w:r>
        <w:rPr>
          <w:rFonts w:ascii="Times New Roman" w:hAnsi="Times New Roman" w:cs="Times New Roman"/>
          <w:b/>
          <w:sz w:val="24"/>
          <w:szCs w:val="24"/>
        </w:rPr>
        <w:t>Problem.</w:t>
      </w:r>
      <w:r>
        <w:rPr>
          <w:rFonts w:ascii="Times New Roman" w:hAnsi="Times New Roman" w:cs="Times New Roman"/>
          <w:sz w:val="24"/>
          <w:szCs w:val="24"/>
        </w:rPr>
        <w:t xml:space="preserve"> Wearable body-area and biomedical-telemetry devices need compact, flexible MIMO arrays whose closely spaced elements stay isolated. </w:t>
      </w:r>
      <w:r>
        <w:rPr>
          <w:rFonts w:ascii="Times New Roman" w:hAnsi="Times New Roman" w:cs="Times New Roman"/>
          <w:b/>
          <w:sz w:val="24"/>
          <w:szCs w:val="24"/>
        </w:rPr>
        <w:t>Method.</w:t>
      </w:r>
      <w:r>
        <w:rPr>
          <w:rFonts w:ascii="Times New Roman" w:hAnsi="Times New Roman" w:cs="Times New Roman"/>
          <w:sz w:val="24"/>
          <w:szCs w:val="24"/>
        </w:rPr>
        <w:t xml:space="preserve"> A flexible 2 × 2 array of triangular radiators on 0.8 mm Rogers RT/duroid 5880 is turned into a metasurface by etching sub-wavelength slots into the radiators, and an electromagnetic-bandgap (EBG) structure between the elements blocks the surface currents that couple them. </w:t>
      </w:r>
      <w:r>
        <w:rPr>
          <w:rFonts w:ascii="Times New Roman" w:hAnsi="Times New Roman" w:cs="Times New Roman"/>
          <w:b/>
          <w:sz w:val="24"/>
          <w:szCs w:val="24"/>
        </w:rPr>
        <w:t>Results.</w:t>
      </w:r>
      <w:r>
        <w:rPr>
          <w:rFonts w:ascii="Times New Roman" w:hAnsi="Times New Roman" w:cs="Times New Roman"/>
          <w:sz w:val="24"/>
          <w:szCs w:val="24"/>
        </w:rPr>
        <w:t xml:space="preserve"> Over 5.0–6.6 GHz the array gives isolation above 34.8 dB, an average gain of 10 dBi and 83 % efficiency, and keeps 8.65–10.5 dBi and 77–83 % when bent. </w:t>
      </w:r>
      <w:r>
        <w:rPr>
          <w:rFonts w:ascii="Times New Roman" w:hAnsi="Times New Roman" w:cs="Times New Roman"/>
          <w:b/>
          <w:sz w:val="24"/>
          <w:szCs w:val="24"/>
        </w:rPr>
        <w:t>Relevance.</w:t>
      </w:r>
      <w:r>
        <w:rPr>
          <w:rFonts w:ascii="Times New Roman" w:hAnsi="Times New Roman" w:cs="Times New Roman"/>
          <w:sz w:val="24"/>
          <w:szCs w:val="24"/>
        </w:rPr>
        <w:t xml:space="preserve"> Combines metasurface-inspired radiators with an EBG decoupler; the EBG idea is a candidate for Phase II if orthogonal placement alone does not give enough isolation.</w:t>
      </w:r>
    </w:p>
    <w:p>
      <w:pPr>
        <w:pStyle w:val="Heading2"/>
        <w:rPr>
          <w:rFonts w:ascii="Times New Roman" w:hAnsi="Times New Roman" w:cs="Times New Roman"/>
          <w:sz w:val="24"/>
          <w:szCs w:val="24"/>
        </w:rPr>
      </w:pPr>
      <w:r>
        <w:rPr>
          <w:rFonts w:ascii="Times New Roman" w:hAnsi="Times New Roman" w:cs="Times New Roman"/>
          <w:i/>
          <w:sz w:val="24"/>
          <w:szCs w:val="24"/>
        </w:rPr>
        <w:t>Wu et al. (2023) [20]</w:t>
      </w:r>
    </w:p>
    <w:p>
      <w:pPr>
        <w:jc w:val="both"/>
      </w:pPr>
      <w:r>
        <w:rPr>
          <w:rFonts w:ascii="Times New Roman" w:hAnsi="Times New Roman" w:cs="Times New Roman"/>
          <w:b/>
          <w:sz w:val="24"/>
          <w:szCs w:val="24"/>
        </w:rPr>
        <w:t>Problem.</w:t>
      </w:r>
      <w:r>
        <w:rPr>
          <w:rFonts w:ascii="Times New Roman" w:hAnsi="Times New Roman" w:cs="Times New Roman"/>
          <w:sz w:val="24"/>
          <w:szCs w:val="24"/>
        </w:rPr>
        <w:t xml:space="preserve"> Wearable 5 GHz body-area links need broadband, circularly polarized, high-gain antennas that are safe for the body. </w:t>
      </w:r>
      <w:r>
        <w:rPr>
          <w:rFonts w:ascii="Times New Roman" w:hAnsi="Times New Roman" w:cs="Times New Roman"/>
          <w:b/>
          <w:sz w:val="24"/>
          <w:szCs w:val="24"/>
        </w:rPr>
        <w:t>Method.</w:t>
      </w:r>
      <w:r>
        <w:rPr>
          <w:rFonts w:ascii="Times New Roman" w:hAnsi="Times New Roman" w:cs="Times New Roman"/>
          <w:sz w:val="24"/>
          <w:szCs w:val="24"/>
        </w:rPr>
        <w:t xml:space="preserve"> A two-element wearable MIMO antenna uses a polarization-conversion metasurface to obtain circular polarization and higher gain, and an isolation strip between the elements to reduce coupling; the specific absorption rate is checked with a human-tissue model. </w:t>
      </w:r>
      <w:r>
        <w:rPr>
          <w:rFonts w:ascii="Times New Roman" w:hAnsi="Times New Roman" w:cs="Times New Roman"/>
          <w:b/>
          <w:sz w:val="24"/>
          <w:szCs w:val="24"/>
        </w:rPr>
        <w:t>Results.</w:t>
      </w:r>
      <w:r>
        <w:rPr>
          <w:rFonts w:ascii="Times New Roman" w:hAnsi="Times New Roman" w:cs="Times New Roman"/>
          <w:sz w:val="24"/>
          <w:szCs w:val="24"/>
        </w:rPr>
        <w:t xml:space="preserve"> Measured −10 dB band 4.76–6.77 GHz and 3 dB axial-ratio band 4.9–6.17 GHz, isolation above 19.85 dB, peak gain 7.95 dBic, ECC below 0.007, diversity gain above 9.98 dB and channel capacity loss below 0.29 bit/s/Hz. </w:t>
      </w:r>
      <w:r>
        <w:rPr>
          <w:rFonts w:ascii="Times New Roman" w:hAnsi="Times New Roman" w:cs="Times New Roman"/>
          <w:b/>
          <w:sz w:val="24"/>
          <w:szCs w:val="24"/>
        </w:rPr>
        <w:t>Relevance.</w:t>
      </w:r>
      <w:r>
        <w:rPr>
          <w:rFonts w:ascii="Times New Roman" w:hAnsi="Times New Roman" w:cs="Times New Roman"/>
          <w:sz w:val="24"/>
          <w:szCs w:val="24"/>
        </w:rPr>
        <w:t xml:space="preserve"> Uses the metasurface to change the polarization rather than only to reflect, which matters if Phase II needs polarization diversity.</w:t>
      </w:r>
    </w:p>
    <w:p>
      <w:pPr>
        <w:pStyle w:val="Heading1"/>
        <w:pageBreakBefore/>
        <w:rPr>
          <w:rFonts w:ascii="Times New Roman" w:hAnsi="Times New Roman" w:cs="Times New Roman"/>
          <w:sz w:val="24"/>
          <w:szCs w:val="24"/>
        </w:rPr>
      </w:pPr>
      <w:r>
        <w:rPr>
          <w:rFonts w:ascii="Times New Roman" w:hAnsi="Times New Roman" w:cs="Times New Roman"/>
          <w:sz w:val="24"/>
          <w:szCs w:val="24"/>
        </w:rPr>
        <w:t>Comparison</w:t>
      </w:r>
    </w:p>
    <w:p>
      <w:pPr>
        <w:keepNext/>
        <w:spacing w:after="80"/>
        <w:jc w:val="center"/>
      </w:pPr>
      <w:r>
        <w:rPr>
          <w:rFonts w:ascii="Times New Roman" w:hAnsi="Times New Roman" w:cs="Times New Roman"/>
          <w:b/>
          <w:sz w:val="20"/>
          <w:szCs w:val="20"/>
        </w:rPr>
        <w:t>Table 1.</w:t>
      </w:r>
      <w:r>
        <w:rPr>
          <w:rFonts w:ascii="Times New Roman" w:hAnsi="Times New Roman" w:cs="Times New Roman"/>
          <w:sz w:val="20"/>
          <w:szCs w:val="20"/>
        </w:rPr>
        <w:t xml:space="preserve"> Single wideband antennas with a metasurface, AMC or FSS reflector.</w:t>
      </w:r>
    </w:p>
    <w:tbl>
      <w:tblPr>
        <w:tblStyle w:val="TableGrid"/>
        <w:tblW w:type="auto" w:w="0"/>
        <w:jc w:val="center"/>
        <w:tblLayout w:type="fixed"/>
        <w:tblLook w:firstColumn="1" w:firstRow="1" w:lastColumn="0" w:lastRow="0" w:noHBand="0" w:noVBand="1" w:val="04A0"/>
      </w:tblPr>
      <w:tblGrid>
        <w:gridCol w:w="792"/>
        <w:gridCol w:w="1296"/>
        <w:gridCol w:w="1080"/>
        <w:gridCol w:w="1584"/>
        <w:gridCol w:w="1224"/>
        <w:gridCol w:w="1224"/>
        <w:gridCol w:w="1440"/>
      </w:tblGrid>
      <w:tr>
        <w:trPr>
          <w:tblHeader/>
        </w:trPr>
        <w:tc>
          <w:tcPr>
            <w:tcW w:type="dxa" w:w="792"/>
            <w:vAlign w:val="center"/>
            <w:shd w:val="clear" w:color="auto" w:fill="D9D9D9"/>
          </w:tcPr>
          <w:p>
            <w:pPr>
              <w:spacing w:after="0" w:line="240" w:lineRule="auto"/>
              <w:jc w:val="left"/>
            </w:pPr>
            <w:r>
              <w:rPr>
                <w:rFonts w:ascii="Times New Roman" w:hAnsi="Times New Roman" w:cs="Times New Roman"/>
                <w:b/>
                <w:sz w:val="17"/>
                <w:szCs w:val="17"/>
              </w:rPr>
              <w:t>Ref.</w:t>
            </w:r>
          </w:p>
        </w:tc>
        <w:tc>
          <w:tcPr>
            <w:tcW w:type="dxa" w:w="1296"/>
            <w:vAlign w:val="center"/>
            <w:shd w:val="clear" w:color="auto" w:fill="D9D9D9"/>
          </w:tcPr>
          <w:p>
            <w:pPr>
              <w:spacing w:after="0" w:line="240" w:lineRule="auto"/>
              <w:jc w:val="center"/>
            </w:pPr>
            <w:r>
              <w:rPr>
                <w:rFonts w:ascii="Times New Roman" w:hAnsi="Times New Roman" w:cs="Times New Roman"/>
                <w:b/>
                <w:sz w:val="17"/>
                <w:szCs w:val="17"/>
              </w:rPr>
              <w:t>Antenna / feed</w:t>
            </w:r>
          </w:p>
        </w:tc>
        <w:tc>
          <w:tcPr>
            <w:tcW w:type="dxa" w:w="1080"/>
            <w:vAlign w:val="center"/>
            <w:shd w:val="clear" w:color="auto" w:fill="D9D9D9"/>
          </w:tcPr>
          <w:p>
            <w:pPr>
              <w:spacing w:after="0" w:line="240" w:lineRule="auto"/>
              <w:jc w:val="center"/>
            </w:pPr>
            <w:r>
              <w:rPr>
                <w:rFonts w:ascii="Times New Roman" w:hAnsi="Times New Roman" w:cs="Times New Roman"/>
                <w:b/>
                <w:sz w:val="17"/>
                <w:szCs w:val="17"/>
              </w:rPr>
              <w:t>Substrate</w:t>
            </w:r>
          </w:p>
        </w:tc>
        <w:tc>
          <w:tcPr>
            <w:tcW w:type="dxa" w:w="1584"/>
            <w:vAlign w:val="center"/>
            <w:shd w:val="clear" w:color="auto" w:fill="D9D9D9"/>
          </w:tcPr>
          <w:p>
            <w:pPr>
              <w:spacing w:after="0" w:line="240" w:lineRule="auto"/>
              <w:jc w:val="center"/>
            </w:pPr>
            <w:r>
              <w:rPr>
                <w:rFonts w:ascii="Times New Roman" w:hAnsi="Times New Roman" w:cs="Times New Roman"/>
                <w:b/>
                <w:sz w:val="17"/>
                <w:szCs w:val="17"/>
              </w:rPr>
              <w:t>Reflector: unit cell, array</w:t>
            </w:r>
          </w:p>
        </w:tc>
        <w:tc>
          <w:tcPr>
            <w:tcW w:type="dxa" w:w="1224"/>
            <w:vAlign w:val="center"/>
            <w:shd w:val="clear" w:color="auto" w:fill="D9D9D9"/>
          </w:tcPr>
          <w:p>
            <w:pPr>
              <w:spacing w:after="0" w:line="240" w:lineRule="auto"/>
              <w:jc w:val="center"/>
            </w:pPr>
            <w:r>
              <w:rPr>
                <w:rFonts w:ascii="Times New Roman" w:hAnsi="Times New Roman" w:cs="Times New Roman"/>
                <w:b/>
                <w:sz w:val="17"/>
                <w:szCs w:val="17"/>
              </w:rPr>
              <w:t>Gap, backing</w:t>
            </w:r>
          </w:p>
        </w:tc>
        <w:tc>
          <w:tcPr>
            <w:tcW w:type="dxa" w:w="1224"/>
            <w:vAlign w:val="center"/>
            <w:shd w:val="clear" w:color="auto" w:fill="D9D9D9"/>
          </w:tcPr>
          <w:p>
            <w:pPr>
              <w:spacing w:after="0" w:line="240" w:lineRule="auto"/>
              <w:jc w:val="center"/>
            </w:pPr>
            <w:r>
              <w:rPr>
                <w:rFonts w:ascii="Times New Roman" w:hAnsi="Times New Roman" w:cs="Times New Roman"/>
                <w:b/>
                <w:sz w:val="17"/>
                <w:szCs w:val="17"/>
              </w:rPr>
              <w:t>Band (GHz)</w:t>
            </w:r>
          </w:p>
        </w:tc>
        <w:tc>
          <w:tcPr>
            <w:tcW w:type="dxa" w:w="1440"/>
            <w:vAlign w:val="center"/>
            <w:shd w:val="clear" w:color="auto" w:fill="D9D9D9"/>
          </w:tcPr>
          <w:p>
            <w:pPr>
              <w:spacing w:after="0" w:line="240" w:lineRule="auto"/>
              <w:jc w:val="center"/>
            </w:pPr>
            <w:r>
              <w:rPr>
                <w:rFonts w:ascii="Times New Roman" w:hAnsi="Times New Roman" w:cs="Times New Roman"/>
                <w:b/>
                <w:sz w:val="17"/>
                <w:szCs w:val="17"/>
              </w:rPr>
              <w:t>Peak gain (dBi): no MS → MS</w:t>
            </w:r>
          </w:p>
        </w:tc>
      </w:tr>
      <w:tr>
        <w:tc>
          <w:tcPr>
            <w:tcW w:type="dxa" w:w="792"/>
            <w:vAlign w:val="center"/>
          </w:tcPr>
          <w:p>
            <w:pPr>
              <w:spacing w:after="0" w:line="240" w:lineRule="auto"/>
              <w:jc w:val="left"/>
            </w:pPr>
            <w:r>
              <w:rPr>
                <w:rFonts w:ascii="Times New Roman" w:hAnsi="Times New Roman" w:cs="Times New Roman"/>
                <w:sz w:val="17"/>
                <w:szCs w:val="17"/>
              </w:rPr>
              <w:t>[11]</w:t>
            </w:r>
          </w:p>
        </w:tc>
        <w:tc>
          <w:tcPr>
            <w:tcW w:type="dxa" w:w="1296"/>
            <w:vAlign w:val="center"/>
          </w:tcPr>
          <w:p>
            <w:pPr>
              <w:spacing w:after="0" w:line="240" w:lineRule="auto"/>
              <w:jc w:val="center"/>
            </w:pPr>
            <w:r>
              <w:rPr>
                <w:rFonts w:ascii="Times New Roman" w:hAnsi="Times New Roman" w:cs="Times New Roman"/>
                <w:sz w:val="17"/>
                <w:szCs w:val="17"/>
              </w:rPr>
              <w:t>Circular-patch UWB monopole</w:t>
            </w:r>
          </w:p>
        </w:tc>
        <w:tc>
          <w:tcPr>
            <w:tcW w:type="dxa" w:w="1080"/>
            <w:vAlign w:val="center"/>
          </w:tcPr>
          <w:p>
            <w:pPr>
              <w:spacing w:after="0" w:line="240" w:lineRule="auto"/>
              <w:jc w:val="center"/>
            </w:pPr>
            <w:r>
              <w:rPr>
                <w:rFonts w:ascii="Times New Roman" w:hAnsi="Times New Roman" w:cs="Times New Roman"/>
                <w:sz w:val="17"/>
                <w:szCs w:val="17"/>
              </w:rPr>
              <w:t>unverified</w:t>
            </w:r>
          </w:p>
        </w:tc>
        <w:tc>
          <w:tcPr>
            <w:tcW w:type="dxa" w:w="1584"/>
            <w:vAlign w:val="center"/>
          </w:tcPr>
          <w:p>
            <w:pPr>
              <w:spacing w:after="0" w:line="240" w:lineRule="auto"/>
              <w:jc w:val="center"/>
            </w:pPr>
            <w:r>
              <w:rPr>
                <w:rFonts w:ascii="Times New Roman" w:hAnsi="Times New Roman" w:cs="Times New Roman"/>
                <w:sz w:val="17"/>
                <w:szCs w:val="17"/>
              </w:rPr>
              <w:t>Double split rings, split angle varied column by column</w:t>
            </w:r>
          </w:p>
        </w:tc>
        <w:tc>
          <w:tcPr>
            <w:tcW w:type="dxa" w:w="1224"/>
            <w:vAlign w:val="center"/>
          </w:tcPr>
          <w:p>
            <w:pPr>
              <w:spacing w:after="0" w:line="240" w:lineRule="auto"/>
              <w:jc w:val="center"/>
            </w:pPr>
            <w:r>
              <w:rPr>
                <w:rFonts w:ascii="Times New Roman" w:hAnsi="Times New Roman" w:cs="Times New Roman"/>
                <w:sz w:val="17"/>
                <w:szCs w:val="17"/>
              </w:rPr>
              <w:t>Behind, low-profile gap (value unverified)</w:t>
            </w:r>
          </w:p>
        </w:tc>
        <w:tc>
          <w:tcPr>
            <w:tcW w:type="dxa" w:w="1224"/>
            <w:vAlign w:val="center"/>
          </w:tcPr>
          <w:p>
            <w:pPr>
              <w:spacing w:after="0" w:line="240" w:lineRule="auto"/>
              <w:jc w:val="center"/>
            </w:pPr>
            <w:r>
              <w:rPr>
                <w:rFonts w:ascii="Times New Roman" w:hAnsi="Times New Roman" w:cs="Times New Roman"/>
                <w:sz w:val="17"/>
                <w:szCs w:val="17"/>
              </w:rPr>
              <w:t>UWB (limits unverified)</w:t>
            </w:r>
          </w:p>
        </w:tc>
        <w:tc>
          <w:tcPr>
            <w:tcW w:type="dxa" w:w="1440"/>
            <w:vAlign w:val="center"/>
          </w:tcPr>
          <w:p>
            <w:pPr>
              <w:spacing w:after="0" w:line="240" w:lineRule="auto"/>
              <w:jc w:val="center"/>
            </w:pPr>
            <w:r>
              <w:rPr>
                <w:rFonts w:ascii="Times New Roman" w:hAnsi="Times New Roman" w:cs="Times New Roman"/>
                <w:sz w:val="17"/>
                <w:szCs w:val="17"/>
              </w:rPr>
              <w:t>≈ +5.5 dB increase</w:t>
            </w:r>
          </w:p>
        </w:tc>
      </w:tr>
      <w:tr>
        <w:tc>
          <w:tcPr>
            <w:tcW w:type="dxa" w:w="792"/>
            <w:vAlign w:val="center"/>
          </w:tcPr>
          <w:p>
            <w:pPr>
              <w:spacing w:after="0" w:line="240" w:lineRule="auto"/>
              <w:jc w:val="left"/>
            </w:pPr>
            <w:r>
              <w:rPr>
                <w:rFonts w:ascii="Times New Roman" w:hAnsi="Times New Roman" w:cs="Times New Roman"/>
                <w:sz w:val="17"/>
                <w:szCs w:val="17"/>
              </w:rPr>
              <w:t>[12]</w:t>
            </w:r>
          </w:p>
        </w:tc>
        <w:tc>
          <w:tcPr>
            <w:tcW w:type="dxa" w:w="1296"/>
            <w:vAlign w:val="center"/>
          </w:tcPr>
          <w:p>
            <w:pPr>
              <w:spacing w:after="0" w:line="240" w:lineRule="auto"/>
              <w:jc w:val="center"/>
            </w:pPr>
            <w:r>
              <w:rPr>
                <w:rFonts w:ascii="Times New Roman" w:hAnsi="Times New Roman" w:cs="Times New Roman"/>
                <w:sz w:val="17"/>
                <w:szCs w:val="17"/>
              </w:rPr>
              <w:t>CPW-fed ring monopole with three legs</w:t>
            </w:r>
          </w:p>
        </w:tc>
        <w:tc>
          <w:tcPr>
            <w:tcW w:type="dxa" w:w="1080"/>
            <w:vAlign w:val="center"/>
          </w:tcPr>
          <w:p>
            <w:pPr>
              <w:spacing w:after="0" w:line="240" w:lineRule="auto"/>
              <w:jc w:val="center"/>
            </w:pPr>
            <w:r>
              <w:rPr>
                <w:rFonts w:ascii="Times New Roman" w:hAnsi="Times New Roman" w:cs="Times New Roman"/>
                <w:sz w:val="17"/>
                <w:szCs w:val="17"/>
              </w:rPr>
              <w:t>FR-4 (ε</w:t>
            </w:r>
            <w:r>
              <w:rPr>
                <w:rFonts w:ascii="Times New Roman" w:hAnsi="Times New Roman" w:cs="Times New Roman"/>
                <w:sz w:val="17"/>
                <w:szCs w:val="17"/>
                <w:vertAlign w:val="subscript"/>
              </w:rPr>
              <w:t>r</w:t>
            </w:r>
            <w:r>
              <w:rPr>
                <w:rFonts w:ascii="Times New Roman" w:hAnsi="Times New Roman" w:cs="Times New Roman"/>
                <w:sz w:val="17"/>
                <w:szCs w:val="17"/>
              </w:rPr>
              <w:t xml:space="preserve"> 4.5), 1.6 mm</w:t>
            </w:r>
          </w:p>
        </w:tc>
        <w:tc>
          <w:tcPr>
            <w:tcW w:type="dxa" w:w="1584"/>
            <w:vAlign w:val="center"/>
          </w:tcPr>
          <w:p>
            <w:pPr>
              <w:spacing w:after="0" w:line="240" w:lineRule="auto"/>
              <w:jc w:val="center"/>
            </w:pPr>
            <w:r>
              <w:rPr>
                <w:rFonts w:ascii="Times New Roman" w:hAnsi="Times New Roman" w:cs="Times New Roman"/>
                <w:sz w:val="17"/>
                <w:szCs w:val="17"/>
              </w:rPr>
              <w:t>Two patches + circular loop, 5 × 5 mm cells; 19 × 19 FSS on FR-4, ground plane behind</w:t>
            </w:r>
          </w:p>
        </w:tc>
        <w:tc>
          <w:tcPr>
            <w:tcW w:type="dxa" w:w="1224"/>
            <w:vAlign w:val="center"/>
          </w:tcPr>
          <w:p>
            <w:pPr>
              <w:spacing w:after="0" w:line="240" w:lineRule="auto"/>
              <w:jc w:val="center"/>
            </w:pPr>
            <w:r>
              <w:rPr>
                <w:rFonts w:ascii="Times New Roman" w:hAnsi="Times New Roman" w:cs="Times New Roman"/>
                <w:sz w:val="17"/>
                <w:szCs w:val="17"/>
              </w:rPr>
              <w:t>Behind; total profile 10 mm (≈ λ/4 at 7.1 GHz)</w:t>
            </w:r>
          </w:p>
        </w:tc>
        <w:tc>
          <w:tcPr>
            <w:tcW w:type="dxa" w:w="1224"/>
            <w:vAlign w:val="center"/>
          </w:tcPr>
          <w:p>
            <w:pPr>
              <w:spacing w:after="0" w:line="240" w:lineRule="auto"/>
              <w:jc w:val="center"/>
            </w:pPr>
            <w:r>
              <w:rPr>
                <w:rFonts w:ascii="Times New Roman" w:hAnsi="Times New Roman" w:cs="Times New Roman"/>
                <w:sz w:val="17"/>
                <w:szCs w:val="17"/>
              </w:rPr>
              <w:t>2.1–12.6 → 2.2–11.9 (meas.)</w:t>
            </w:r>
          </w:p>
        </w:tc>
        <w:tc>
          <w:tcPr>
            <w:tcW w:type="dxa" w:w="1440"/>
            <w:vAlign w:val="center"/>
          </w:tcPr>
          <w:p>
            <w:pPr>
              <w:spacing w:after="0" w:line="240" w:lineRule="auto"/>
              <w:jc w:val="center"/>
            </w:pPr>
            <w:r>
              <w:rPr>
                <w:rFonts w:ascii="Times New Roman" w:hAnsi="Times New Roman" w:cs="Times New Roman"/>
                <w:sz w:val="17"/>
                <w:szCs w:val="17"/>
              </w:rPr>
              <w:t>6.7 → 11.5 (11.3 meas.)</w:t>
            </w:r>
          </w:p>
        </w:tc>
      </w:tr>
      <w:tr>
        <w:tc>
          <w:tcPr>
            <w:tcW w:type="dxa" w:w="792"/>
            <w:vAlign w:val="center"/>
          </w:tcPr>
          <w:p>
            <w:pPr>
              <w:spacing w:after="0" w:line="240" w:lineRule="auto"/>
              <w:jc w:val="left"/>
            </w:pPr>
            <w:r>
              <w:rPr>
                <w:rFonts w:ascii="Times New Roman" w:hAnsi="Times New Roman" w:cs="Times New Roman"/>
                <w:sz w:val="17"/>
                <w:szCs w:val="17"/>
              </w:rPr>
              <w:t>[13]</w:t>
            </w:r>
          </w:p>
        </w:tc>
        <w:tc>
          <w:tcPr>
            <w:tcW w:type="dxa" w:w="1296"/>
            <w:vAlign w:val="center"/>
          </w:tcPr>
          <w:p>
            <w:pPr>
              <w:spacing w:after="0" w:line="240" w:lineRule="auto"/>
              <w:jc w:val="center"/>
            </w:pPr>
            <w:r>
              <w:rPr>
                <w:rFonts w:ascii="Times New Roman" w:hAnsi="Times New Roman" w:cs="Times New Roman"/>
                <w:sz w:val="17"/>
                <w:szCs w:val="17"/>
              </w:rPr>
              <w:t>CPW-fed hexagonal patch with stubs</w:t>
            </w:r>
          </w:p>
        </w:tc>
        <w:tc>
          <w:tcPr>
            <w:tcW w:type="dxa" w:w="1080"/>
            <w:vAlign w:val="center"/>
          </w:tcPr>
          <w:p>
            <w:pPr>
              <w:spacing w:after="0" w:line="240" w:lineRule="auto"/>
              <w:jc w:val="center"/>
            </w:pPr>
            <w:r>
              <w:rPr>
                <w:rFonts w:ascii="Times New Roman" w:hAnsi="Times New Roman" w:cs="Times New Roman"/>
                <w:sz w:val="17"/>
                <w:szCs w:val="17"/>
              </w:rPr>
              <w:t>Rogers RT/Duroid 6002 (ε</w:t>
            </w:r>
            <w:r>
              <w:rPr>
                <w:rFonts w:ascii="Times New Roman" w:hAnsi="Times New Roman" w:cs="Times New Roman"/>
                <w:sz w:val="17"/>
                <w:szCs w:val="17"/>
                <w:vertAlign w:val="subscript"/>
              </w:rPr>
              <w:t>r</w:t>
            </w:r>
            <w:r>
              <w:rPr>
                <w:rFonts w:ascii="Times New Roman" w:hAnsi="Times New Roman" w:cs="Times New Roman"/>
                <w:sz w:val="17"/>
                <w:szCs w:val="17"/>
              </w:rPr>
              <w:t xml:space="preserve"> 2.94), 1.52 mm</w:t>
            </w:r>
          </w:p>
        </w:tc>
        <w:tc>
          <w:tcPr>
            <w:tcW w:type="dxa" w:w="1584"/>
            <w:vAlign w:val="center"/>
          </w:tcPr>
          <w:p>
            <w:pPr>
              <w:spacing w:after="0" w:line="240" w:lineRule="auto"/>
              <w:jc w:val="center"/>
            </w:pPr>
            <w:r>
              <w:rPr>
                <w:rFonts w:ascii="Times New Roman" w:hAnsi="Times New Roman" w:cs="Times New Roman"/>
                <w:sz w:val="17"/>
                <w:szCs w:val="17"/>
              </w:rPr>
              <w:t>Ring joined to a square frame; 5 × 5 FSS</w:t>
            </w:r>
          </w:p>
        </w:tc>
        <w:tc>
          <w:tcPr>
            <w:tcW w:type="dxa" w:w="1224"/>
            <w:vAlign w:val="center"/>
          </w:tcPr>
          <w:p>
            <w:pPr>
              <w:spacing w:after="0" w:line="240" w:lineRule="auto"/>
              <w:jc w:val="center"/>
            </w:pPr>
            <w:r>
              <w:rPr>
                <w:rFonts w:ascii="Times New Roman" w:hAnsi="Times New Roman" w:cs="Times New Roman"/>
                <w:sz w:val="17"/>
                <w:szCs w:val="17"/>
              </w:rPr>
              <w:t>Behind, 9 mm foam spacer (0.09λ</w:t>
            </w:r>
            <w:r>
              <w:rPr>
                <w:rFonts w:ascii="Times New Roman" w:hAnsi="Times New Roman" w:cs="Times New Roman"/>
                <w:sz w:val="17"/>
                <w:szCs w:val="17"/>
                <w:vertAlign w:val="subscript"/>
              </w:rPr>
              <w:t>L</w:t>
            </w:r>
            <w:r>
              <w:rPr>
                <w:rFonts w:ascii="Times New Roman" w:hAnsi="Times New Roman" w:cs="Times New Roman"/>
                <w:sz w:val="17"/>
                <w:szCs w:val="17"/>
              </w:rPr>
              <w:t>)</w:t>
            </w:r>
          </w:p>
        </w:tc>
        <w:tc>
          <w:tcPr>
            <w:tcW w:type="dxa" w:w="1224"/>
            <w:vAlign w:val="center"/>
          </w:tcPr>
          <w:p>
            <w:pPr>
              <w:spacing w:after="0" w:line="240" w:lineRule="auto"/>
              <w:jc w:val="center"/>
            </w:pPr>
            <w:r>
              <w:rPr>
                <w:rFonts w:ascii="Times New Roman" w:hAnsi="Times New Roman" w:cs="Times New Roman"/>
                <w:sz w:val="17"/>
                <w:szCs w:val="17"/>
              </w:rPr>
              <w:t>5–17 → 3–18</w:t>
            </w:r>
          </w:p>
        </w:tc>
        <w:tc>
          <w:tcPr>
            <w:tcW w:type="dxa" w:w="1440"/>
            <w:vAlign w:val="center"/>
          </w:tcPr>
          <w:p>
            <w:pPr>
              <w:spacing w:after="0" w:line="240" w:lineRule="auto"/>
              <w:jc w:val="center"/>
            </w:pPr>
            <w:r>
              <w:rPr>
                <w:rFonts w:ascii="Times New Roman" w:hAnsi="Times New Roman" w:cs="Times New Roman"/>
                <w:sz w:val="17"/>
                <w:szCs w:val="17"/>
              </w:rPr>
              <w:t>6.5 → 10.5</w:t>
            </w:r>
          </w:p>
        </w:tc>
      </w:tr>
      <w:tr>
        <w:tc>
          <w:tcPr>
            <w:tcW w:type="dxa" w:w="792"/>
            <w:vAlign w:val="center"/>
          </w:tcPr>
          <w:p>
            <w:pPr>
              <w:spacing w:after="0" w:line="240" w:lineRule="auto"/>
              <w:jc w:val="left"/>
            </w:pPr>
            <w:r>
              <w:rPr>
                <w:rFonts w:ascii="Times New Roman" w:hAnsi="Times New Roman" w:cs="Times New Roman"/>
                <w:sz w:val="17"/>
                <w:szCs w:val="17"/>
              </w:rPr>
              <w:t>[14]</w:t>
            </w:r>
          </w:p>
        </w:tc>
        <w:tc>
          <w:tcPr>
            <w:tcW w:type="dxa" w:w="1296"/>
            <w:vAlign w:val="center"/>
          </w:tcPr>
          <w:p>
            <w:pPr>
              <w:spacing w:after="0" w:line="240" w:lineRule="auto"/>
              <w:jc w:val="center"/>
            </w:pPr>
            <w:r>
              <w:rPr>
                <w:rFonts w:ascii="Times New Roman" w:hAnsi="Times New Roman" w:cs="Times New Roman"/>
                <w:sz w:val="17"/>
                <w:szCs w:val="17"/>
              </w:rPr>
              <w:t>CPW-fed hexagonal UWB monopole</w:t>
            </w:r>
          </w:p>
        </w:tc>
        <w:tc>
          <w:tcPr>
            <w:tcW w:type="dxa" w:w="1080"/>
            <w:vAlign w:val="center"/>
          </w:tcPr>
          <w:p>
            <w:pPr>
              <w:spacing w:after="0" w:line="240" w:lineRule="auto"/>
              <w:jc w:val="center"/>
            </w:pPr>
            <w:r>
              <w:rPr>
                <w:rFonts w:ascii="Times New Roman" w:hAnsi="Times New Roman" w:cs="Times New Roman"/>
                <w:sz w:val="17"/>
                <w:szCs w:val="17"/>
              </w:rPr>
              <w:t>unverified</w:t>
            </w:r>
          </w:p>
        </w:tc>
        <w:tc>
          <w:tcPr>
            <w:tcW w:type="dxa" w:w="1584"/>
            <w:vAlign w:val="center"/>
          </w:tcPr>
          <w:p>
            <w:pPr>
              <w:spacing w:after="0" w:line="240" w:lineRule="auto"/>
              <w:jc w:val="center"/>
            </w:pPr>
            <w:r>
              <w:rPr>
                <w:rFonts w:ascii="Times New Roman" w:hAnsi="Times New Roman" w:cs="Times New Roman"/>
                <w:sz w:val="17"/>
                <w:szCs w:val="17"/>
              </w:rPr>
              <w:t>8 × 8 mm cells, 7 × 7 FSS (stopband 3–11.5 GHz)</w:t>
            </w:r>
          </w:p>
        </w:tc>
        <w:tc>
          <w:tcPr>
            <w:tcW w:type="dxa" w:w="1224"/>
            <w:vAlign w:val="center"/>
          </w:tcPr>
          <w:p>
            <w:pPr>
              <w:spacing w:after="0" w:line="240" w:lineRule="auto"/>
              <w:jc w:val="center"/>
            </w:pPr>
            <w:r>
              <w:rPr>
                <w:rFonts w:ascii="Times New Roman" w:hAnsi="Times New Roman" w:cs="Times New Roman"/>
                <w:sz w:val="17"/>
                <w:szCs w:val="17"/>
              </w:rPr>
              <w:t>Behind, 20 mm (0.21λ at 3.1 GHz)</w:t>
            </w:r>
          </w:p>
        </w:tc>
        <w:tc>
          <w:tcPr>
            <w:tcW w:type="dxa" w:w="1224"/>
            <w:vAlign w:val="center"/>
          </w:tcPr>
          <w:p>
            <w:pPr>
              <w:spacing w:after="0" w:line="240" w:lineRule="auto"/>
              <w:jc w:val="center"/>
            </w:pPr>
            <w:r>
              <w:rPr>
                <w:rFonts w:ascii="Times New Roman" w:hAnsi="Times New Roman" w:cs="Times New Roman"/>
                <w:sz w:val="17"/>
                <w:szCs w:val="17"/>
              </w:rPr>
              <w:t>UWB (limits unverified)</w:t>
            </w:r>
          </w:p>
        </w:tc>
        <w:tc>
          <w:tcPr>
            <w:tcW w:type="dxa" w:w="1440"/>
            <w:vAlign w:val="center"/>
          </w:tcPr>
          <w:p>
            <w:pPr>
              <w:spacing w:after="0" w:line="240" w:lineRule="auto"/>
              <w:jc w:val="center"/>
            </w:pPr>
            <w:r>
              <w:rPr>
                <w:rFonts w:ascii="Times New Roman" w:hAnsi="Times New Roman" w:cs="Times New Roman"/>
                <w:sz w:val="17"/>
                <w:szCs w:val="17"/>
              </w:rPr>
              <w:t>2.2 → 8.4 (realized)</w:t>
            </w:r>
          </w:p>
        </w:tc>
      </w:tr>
      <w:tr>
        <w:tc>
          <w:tcPr>
            <w:tcW w:type="dxa" w:w="792"/>
            <w:vAlign w:val="center"/>
          </w:tcPr>
          <w:p>
            <w:pPr>
              <w:spacing w:after="0" w:line="240" w:lineRule="auto"/>
              <w:jc w:val="left"/>
            </w:pPr>
            <w:r>
              <w:rPr>
                <w:rFonts w:ascii="Times New Roman" w:hAnsi="Times New Roman" w:cs="Times New Roman"/>
                <w:sz w:val="17"/>
                <w:szCs w:val="17"/>
              </w:rPr>
              <w:t>[15]</w:t>
            </w:r>
          </w:p>
        </w:tc>
        <w:tc>
          <w:tcPr>
            <w:tcW w:type="dxa" w:w="1296"/>
            <w:vAlign w:val="center"/>
          </w:tcPr>
          <w:p>
            <w:pPr>
              <w:spacing w:after="0" w:line="240" w:lineRule="auto"/>
              <w:jc w:val="center"/>
            </w:pPr>
            <w:r>
              <w:rPr>
                <w:rFonts w:ascii="Times New Roman" w:hAnsi="Times New Roman" w:cs="Times New Roman"/>
                <w:sz w:val="17"/>
                <w:szCs w:val="17"/>
              </w:rPr>
              <w:t>CPW-fed octagonal monopole with inverted U-slot</w:t>
            </w:r>
          </w:p>
        </w:tc>
        <w:tc>
          <w:tcPr>
            <w:tcW w:type="dxa" w:w="1080"/>
            <w:vAlign w:val="center"/>
          </w:tcPr>
          <w:p>
            <w:pPr>
              <w:spacing w:after="0" w:line="240" w:lineRule="auto"/>
              <w:jc w:val="center"/>
            </w:pPr>
            <w:r>
              <w:rPr>
                <w:rFonts w:ascii="Times New Roman" w:hAnsi="Times New Roman" w:cs="Times New Roman"/>
                <w:sz w:val="17"/>
                <w:szCs w:val="17"/>
              </w:rPr>
              <w:t>Rogers RT5880, 1.57 mm</w:t>
            </w:r>
          </w:p>
        </w:tc>
        <w:tc>
          <w:tcPr>
            <w:tcW w:type="dxa" w:w="1584"/>
            <w:vAlign w:val="center"/>
          </w:tcPr>
          <w:p>
            <w:pPr>
              <w:spacing w:after="0" w:line="240" w:lineRule="auto"/>
              <w:jc w:val="center"/>
            </w:pPr>
            <w:r>
              <w:rPr>
                <w:rFonts w:ascii="Times New Roman" w:hAnsi="Times New Roman" w:cs="Times New Roman"/>
                <w:sz w:val="17"/>
                <w:szCs w:val="17"/>
              </w:rPr>
              <w:t>5 × 5 AMC, 0° reflection at 7.44 GHz, on RO4003C with full ground</w:t>
            </w:r>
          </w:p>
        </w:tc>
        <w:tc>
          <w:tcPr>
            <w:tcW w:type="dxa" w:w="1224"/>
            <w:vAlign w:val="center"/>
          </w:tcPr>
          <w:p>
            <w:pPr>
              <w:spacing w:after="0" w:line="240" w:lineRule="auto"/>
              <w:jc w:val="center"/>
            </w:pPr>
            <w:r>
              <w:rPr>
                <w:rFonts w:ascii="Times New Roman" w:hAnsi="Times New Roman" w:cs="Times New Roman"/>
                <w:sz w:val="17"/>
                <w:szCs w:val="17"/>
              </w:rPr>
              <w:t>Behind, air gap (5 mm, unconfirmed)</w:t>
            </w:r>
          </w:p>
        </w:tc>
        <w:tc>
          <w:tcPr>
            <w:tcW w:type="dxa" w:w="1224"/>
            <w:vAlign w:val="center"/>
          </w:tcPr>
          <w:p>
            <w:pPr>
              <w:spacing w:after="0" w:line="240" w:lineRule="auto"/>
              <w:jc w:val="center"/>
            </w:pPr>
            <w:r>
              <w:rPr>
                <w:rFonts w:ascii="Times New Roman" w:hAnsi="Times New Roman" w:cs="Times New Roman"/>
                <w:sz w:val="17"/>
                <w:szCs w:val="17"/>
              </w:rPr>
              <w:t>3.5–6.3 → 3.5–6.5</w:t>
            </w:r>
          </w:p>
        </w:tc>
        <w:tc>
          <w:tcPr>
            <w:tcW w:type="dxa" w:w="1440"/>
            <w:vAlign w:val="center"/>
          </w:tcPr>
          <w:p>
            <w:pPr>
              <w:spacing w:after="0" w:line="240" w:lineRule="auto"/>
              <w:jc w:val="center"/>
            </w:pPr>
            <w:r>
              <w:rPr>
                <w:rFonts w:ascii="Times New Roman" w:hAnsi="Times New Roman" w:cs="Times New Roman"/>
                <w:sz w:val="17"/>
                <w:szCs w:val="17"/>
              </w:rPr>
              <w:t>unverified → 9.9–11.5 (sources differ)</w:t>
            </w:r>
          </w:p>
        </w:tc>
      </w:tr>
      <w:tr>
        <w:tc>
          <w:tcPr>
            <w:tcW w:type="dxa" w:w="792"/>
            <w:vAlign w:val="center"/>
            <w:shd w:val="clear" w:color="auto" w:fill="DCE6F2"/>
          </w:tcPr>
          <w:p>
            <w:pPr>
              <w:spacing w:after="0" w:line="240" w:lineRule="auto"/>
              <w:jc w:val="left"/>
            </w:pPr>
            <w:r>
              <w:rPr>
                <w:rFonts w:ascii="Times New Roman" w:hAnsi="Times New Roman" w:cs="Times New Roman"/>
                <w:b/>
                <w:sz w:val="17"/>
                <w:szCs w:val="17"/>
              </w:rPr>
              <w:t>This work</w:t>
            </w:r>
          </w:p>
        </w:tc>
        <w:tc>
          <w:tcPr>
            <w:tcW w:type="dxa" w:w="1296"/>
            <w:vAlign w:val="center"/>
            <w:shd w:val="clear" w:color="auto" w:fill="DCE6F2"/>
          </w:tcPr>
          <w:p>
            <w:pPr>
              <w:spacing w:after="0" w:line="240" w:lineRule="auto"/>
              <w:jc w:val="center"/>
            </w:pPr>
            <w:r>
              <w:rPr>
                <w:rFonts w:ascii="Times New Roman" w:hAnsi="Times New Roman" w:cs="Times New Roman"/>
                <w:sz w:val="17"/>
                <w:szCs w:val="17"/>
              </w:rPr>
              <w:t>CPW-fed planar monopole</w:t>
            </w:r>
          </w:p>
        </w:tc>
        <w:tc>
          <w:tcPr>
            <w:tcW w:type="dxa" w:w="1080"/>
            <w:vAlign w:val="center"/>
            <w:shd w:val="clear" w:color="auto" w:fill="DCE6F2"/>
          </w:tcPr>
          <w:p>
            <w:pPr>
              <w:spacing w:after="0" w:line="240" w:lineRule="auto"/>
              <w:jc w:val="center"/>
            </w:pPr>
            <w:r>
              <w:rPr>
                <w:rFonts w:ascii="Times New Roman" w:hAnsi="Times New Roman" w:cs="Times New Roman"/>
                <w:sz w:val="17"/>
                <w:szCs w:val="17"/>
              </w:rPr>
              <w:t>see design</w:t>
            </w:r>
          </w:p>
        </w:tc>
        <w:tc>
          <w:tcPr>
            <w:tcW w:type="dxa" w:w="1584"/>
            <w:vAlign w:val="center"/>
            <w:shd w:val="clear" w:color="auto" w:fill="DCE6F2"/>
          </w:tcPr>
          <w:p>
            <w:pPr>
              <w:spacing w:after="0" w:line="240" w:lineRule="auto"/>
              <w:jc w:val="center"/>
            </w:pPr>
            <w:r>
              <w:rPr>
                <w:rFonts w:ascii="Times New Roman" w:hAnsi="Times New Roman" w:cs="Times New Roman"/>
                <w:sz w:val="17"/>
                <w:szCs w:val="17"/>
              </w:rPr>
              <w:t>Single split-ring resonator (SRR) array (design ongoing)</w:t>
            </w:r>
          </w:p>
        </w:tc>
        <w:tc>
          <w:tcPr>
            <w:tcW w:type="dxa" w:w="1224"/>
            <w:vAlign w:val="center"/>
            <w:shd w:val="clear" w:color="auto" w:fill="DCE6F2"/>
          </w:tcPr>
          <w:p>
            <w:pPr>
              <w:spacing w:after="0" w:line="240" w:lineRule="auto"/>
              <w:jc w:val="center"/>
            </w:pPr>
            <w:r>
              <w:rPr>
                <w:rFonts w:ascii="Times New Roman" w:hAnsi="Times New Roman" w:cs="Times New Roman"/>
                <w:sz w:val="17"/>
                <w:szCs w:val="17"/>
              </w:rPr>
              <w:t>3.9 mm, air (0.028λ</w:t>
            </w:r>
            <w:r>
              <w:rPr>
                <w:rFonts w:ascii="Times New Roman" w:hAnsi="Times New Roman" w:cs="Times New Roman"/>
                <w:sz w:val="17"/>
                <w:szCs w:val="17"/>
                <w:vertAlign w:val="subscript"/>
              </w:rPr>
              <w:t>L</w:t>
            </w:r>
            <w:r>
              <w:rPr>
                <w:rFonts w:ascii="Times New Roman" w:hAnsi="Times New Roman" w:cs="Times New Roman"/>
                <w:sz w:val="17"/>
                <w:szCs w:val="17"/>
              </w:rPr>
              <w:t>)</w:t>
            </w:r>
          </w:p>
        </w:tc>
        <w:tc>
          <w:tcPr>
            <w:tcW w:type="dxa" w:w="1224"/>
            <w:vAlign w:val="center"/>
            <w:shd w:val="clear" w:color="auto" w:fill="DCE6F2"/>
          </w:tcPr>
          <w:p>
            <w:pPr>
              <w:spacing w:after="0" w:line="240" w:lineRule="auto"/>
              <w:jc w:val="center"/>
            </w:pPr>
            <w:r>
              <w:rPr>
                <w:rFonts w:ascii="Times New Roman" w:hAnsi="Times New Roman" w:cs="Times New Roman"/>
                <w:sz w:val="17"/>
                <w:szCs w:val="17"/>
              </w:rPr>
              <w:t>2.16–15.73 (no MS)</w:t>
            </w:r>
          </w:p>
        </w:tc>
        <w:tc>
          <w:tcPr>
            <w:tcW w:type="dxa" w:w="1440"/>
            <w:vAlign w:val="center"/>
            <w:shd w:val="clear" w:color="auto" w:fill="DCE6F2"/>
          </w:tcPr>
          <w:p>
            <w:pPr>
              <w:spacing w:after="0" w:line="240" w:lineRule="auto"/>
              <w:jc w:val="center"/>
            </w:pPr>
            <w:r>
              <w:rPr>
                <w:rFonts w:ascii="Times New Roman" w:hAnsi="Times New Roman" w:cs="Times New Roman"/>
                <w:sz w:val="17"/>
                <w:szCs w:val="17"/>
              </w:rPr>
              <w:t>≈ 2.9–4.9 (IEEE, 3.1–10.6 GHz, no MS) → pending</w:t>
            </w:r>
          </w:p>
        </w:tc>
      </w:tr>
    </w:tbl>
    <w:p>
      <w:pPr>
        <w:spacing w:after="40"/>
      </w:pPr>
    </w:p>
    <w:p>
      <w:pPr>
        <w:jc w:val="both"/>
      </w:pPr>
      <w:r>
        <w:rPr>
          <w:rFonts w:ascii="Times New Roman" w:hAnsi="Times New Roman" w:cs="Times New Roman"/>
          <w:sz w:val="18"/>
          <w:szCs w:val="18"/>
        </w:rPr>
        <w:t>λ</w:t>
      </w:r>
      <w:r>
        <w:rPr>
          <w:rFonts w:ascii="Times New Roman" w:hAnsi="Times New Roman" w:cs="Times New Roman"/>
          <w:sz w:val="18"/>
          <w:szCs w:val="18"/>
          <w:vertAlign w:val="subscript"/>
        </w:rPr>
        <w:t>L</w:t>
      </w:r>
      <w:r>
        <w:rPr>
          <w:rFonts w:ascii="Times New Roman" w:hAnsi="Times New Roman" w:cs="Times New Roman"/>
          <w:sz w:val="18"/>
          <w:szCs w:val="18"/>
        </w:rPr>
        <w:t>: free-space wavelength at the lowest operating frequency. “No MS → MS”: without → with the reflector. “n/r”: not reported; “unverified”: not confirmed in the accessible text.</w:t>
      </w:r>
    </w:p>
    <w:p>
      <w:pPr>
        <w:keepNext/>
        <w:spacing w:after="80"/>
        <w:jc w:val="center"/>
      </w:pPr>
      <w:r>
        <w:rPr>
          <w:rFonts w:ascii="Times New Roman" w:hAnsi="Times New Roman" w:cs="Times New Roman"/>
          <w:b/>
          <w:sz w:val="20"/>
          <w:szCs w:val="20"/>
        </w:rPr>
        <w:t>Table 2.</w:t>
      </w:r>
      <w:r>
        <w:rPr>
          <w:rFonts w:ascii="Times New Roman" w:hAnsi="Times New Roman" w:cs="Times New Roman"/>
          <w:sz w:val="20"/>
          <w:szCs w:val="20"/>
        </w:rPr>
        <w:t xml:space="preserve"> MIMO antennas that use a metasurface (background for Phase II).</w:t>
      </w:r>
    </w:p>
    <w:tbl>
      <w:tblPr>
        <w:tblStyle w:val="TableGrid"/>
        <w:tblW w:type="auto" w:w="0"/>
        <w:jc w:val="center"/>
        <w:tblLayout w:type="fixed"/>
        <w:tblLook w:firstColumn="1" w:firstRow="1" w:lastColumn="0" w:lastRow="0" w:noHBand="0" w:noVBand="1" w:val="04A0"/>
      </w:tblPr>
      <w:tblGrid>
        <w:gridCol w:w="792"/>
        <w:gridCol w:w="1368"/>
        <w:gridCol w:w="1152"/>
        <w:gridCol w:w="2016"/>
        <w:gridCol w:w="1008"/>
        <w:gridCol w:w="1080"/>
        <w:gridCol w:w="1224"/>
      </w:tblGrid>
      <w:tr>
        <w:trPr>
          <w:tblHeader/>
        </w:trPr>
        <w:tc>
          <w:tcPr>
            <w:tcW w:type="dxa" w:w="792"/>
            <w:vAlign w:val="center"/>
            <w:shd w:val="clear" w:color="auto" w:fill="D9D9D9"/>
          </w:tcPr>
          <w:p>
            <w:pPr>
              <w:spacing w:after="0" w:line="240" w:lineRule="auto"/>
              <w:jc w:val="left"/>
            </w:pPr>
            <w:r>
              <w:rPr>
                <w:rFonts w:ascii="Times New Roman" w:hAnsi="Times New Roman" w:cs="Times New Roman"/>
                <w:b/>
                <w:sz w:val="17"/>
                <w:szCs w:val="17"/>
              </w:rPr>
              <w:t>Ref.</w:t>
            </w:r>
          </w:p>
        </w:tc>
        <w:tc>
          <w:tcPr>
            <w:tcW w:type="dxa" w:w="1368"/>
            <w:vAlign w:val="center"/>
            <w:shd w:val="clear" w:color="auto" w:fill="D9D9D9"/>
          </w:tcPr>
          <w:p>
            <w:pPr>
              <w:spacing w:after="0" w:line="240" w:lineRule="auto"/>
              <w:jc w:val="center"/>
            </w:pPr>
            <w:r>
              <w:rPr>
                <w:rFonts w:ascii="Times New Roman" w:hAnsi="Times New Roman" w:cs="Times New Roman"/>
                <w:b/>
                <w:sz w:val="17"/>
                <w:szCs w:val="17"/>
              </w:rPr>
              <w:t>Ports, size (mm)</w:t>
            </w:r>
          </w:p>
        </w:tc>
        <w:tc>
          <w:tcPr>
            <w:tcW w:type="dxa" w:w="1152"/>
            <w:vAlign w:val="center"/>
            <w:shd w:val="clear" w:color="auto" w:fill="D9D9D9"/>
          </w:tcPr>
          <w:p>
            <w:pPr>
              <w:spacing w:after="0" w:line="240" w:lineRule="auto"/>
              <w:jc w:val="center"/>
            </w:pPr>
            <w:r>
              <w:rPr>
                <w:rFonts w:ascii="Times New Roman" w:hAnsi="Times New Roman" w:cs="Times New Roman"/>
                <w:b/>
                <w:sz w:val="17"/>
                <w:szCs w:val="17"/>
              </w:rPr>
              <w:t>Band (GHz)</w:t>
            </w:r>
          </w:p>
        </w:tc>
        <w:tc>
          <w:tcPr>
            <w:tcW w:type="dxa" w:w="2016"/>
            <w:vAlign w:val="center"/>
            <w:shd w:val="clear" w:color="auto" w:fill="D9D9D9"/>
          </w:tcPr>
          <w:p>
            <w:pPr>
              <w:spacing w:after="0" w:line="240" w:lineRule="auto"/>
              <w:jc w:val="center"/>
            </w:pPr>
            <w:r>
              <w:rPr>
                <w:rFonts w:ascii="Times New Roman" w:hAnsi="Times New Roman" w:cs="Times New Roman"/>
                <w:b/>
                <w:sz w:val="17"/>
                <w:szCs w:val="17"/>
              </w:rPr>
              <w:t>Metasurface and its role</w:t>
            </w:r>
          </w:p>
        </w:tc>
        <w:tc>
          <w:tcPr>
            <w:tcW w:type="dxa" w:w="1008"/>
            <w:vAlign w:val="center"/>
            <w:shd w:val="clear" w:color="auto" w:fill="D9D9D9"/>
          </w:tcPr>
          <w:p>
            <w:pPr>
              <w:spacing w:after="0" w:line="240" w:lineRule="auto"/>
              <w:jc w:val="center"/>
            </w:pPr>
            <w:r>
              <w:rPr>
                <w:rFonts w:ascii="Times New Roman" w:hAnsi="Times New Roman" w:cs="Times New Roman"/>
                <w:b/>
                <w:sz w:val="17"/>
                <w:szCs w:val="17"/>
              </w:rPr>
              <w:t>Isolation (dB)</w:t>
            </w:r>
          </w:p>
        </w:tc>
        <w:tc>
          <w:tcPr>
            <w:tcW w:type="dxa" w:w="1080"/>
            <w:vAlign w:val="center"/>
            <w:shd w:val="clear" w:color="auto" w:fill="D9D9D9"/>
          </w:tcPr>
          <w:p>
            <w:pPr>
              <w:spacing w:after="0" w:line="240" w:lineRule="auto"/>
              <w:jc w:val="center"/>
            </w:pPr>
            <w:r>
              <w:rPr>
                <w:rFonts w:ascii="Times New Roman" w:hAnsi="Times New Roman" w:cs="Times New Roman"/>
                <w:b/>
                <w:sz w:val="17"/>
                <w:szCs w:val="17"/>
              </w:rPr>
              <w:t>ECC</w:t>
            </w:r>
          </w:p>
        </w:tc>
        <w:tc>
          <w:tcPr>
            <w:tcW w:type="dxa" w:w="1224"/>
            <w:vAlign w:val="center"/>
            <w:shd w:val="clear" w:color="auto" w:fill="D9D9D9"/>
          </w:tcPr>
          <w:p>
            <w:pPr>
              <w:spacing w:after="0" w:line="240" w:lineRule="auto"/>
              <w:jc w:val="center"/>
            </w:pPr>
            <w:r>
              <w:rPr>
                <w:rFonts w:ascii="Times New Roman" w:hAnsi="Times New Roman" w:cs="Times New Roman"/>
                <w:b/>
                <w:sz w:val="17"/>
                <w:szCs w:val="17"/>
              </w:rPr>
              <w:t>Peak gain (dBi)</w:t>
            </w:r>
          </w:p>
        </w:tc>
      </w:tr>
      <w:tr>
        <w:tc>
          <w:tcPr>
            <w:tcW w:type="dxa" w:w="792"/>
            <w:vAlign w:val="center"/>
          </w:tcPr>
          <w:p>
            <w:pPr>
              <w:spacing w:after="0" w:line="240" w:lineRule="auto"/>
              <w:jc w:val="left"/>
            </w:pPr>
            <w:r>
              <w:rPr>
                <w:rFonts w:ascii="Times New Roman" w:hAnsi="Times New Roman" w:cs="Times New Roman"/>
                <w:sz w:val="17"/>
                <w:szCs w:val="17"/>
              </w:rPr>
              <w:t>[16]</w:t>
            </w:r>
          </w:p>
        </w:tc>
        <w:tc>
          <w:tcPr>
            <w:tcW w:type="dxa" w:w="1368"/>
            <w:vAlign w:val="center"/>
          </w:tcPr>
          <w:p>
            <w:pPr>
              <w:spacing w:after="0" w:line="240" w:lineRule="auto"/>
              <w:jc w:val="center"/>
            </w:pPr>
            <w:r>
              <w:rPr>
                <w:rFonts w:ascii="Times New Roman" w:hAnsi="Times New Roman" w:cs="Times New Roman"/>
                <w:sz w:val="17"/>
                <w:szCs w:val="17"/>
              </w:rPr>
              <w:t>4 (2 × 2, orthogonal); ≈ 1.75λ</w:t>
            </w:r>
            <w:r>
              <w:rPr>
                <w:rFonts w:ascii="Times New Roman" w:hAnsi="Times New Roman" w:cs="Times New Roman"/>
                <w:sz w:val="17"/>
                <w:szCs w:val="17"/>
                <w:vertAlign w:val="subscript"/>
              </w:rPr>
              <w:t>0</w:t>
            </w:r>
            <w:r>
              <w:rPr>
                <w:rFonts w:ascii="Times New Roman" w:hAnsi="Times New Roman" w:cs="Times New Roman"/>
                <w:sz w:val="17"/>
                <w:szCs w:val="17"/>
              </w:rPr>
              <w:t xml:space="preserve"> square</w:t>
            </w:r>
          </w:p>
        </w:tc>
        <w:tc>
          <w:tcPr>
            <w:tcW w:type="dxa" w:w="1152"/>
            <w:vAlign w:val="center"/>
          </w:tcPr>
          <w:p>
            <w:pPr>
              <w:spacing w:after="0" w:line="240" w:lineRule="auto"/>
              <w:jc w:val="center"/>
            </w:pPr>
            <w:r>
              <w:rPr>
                <w:rFonts w:ascii="Times New Roman" w:hAnsi="Times New Roman" w:cs="Times New Roman"/>
                <w:sz w:val="17"/>
                <w:szCs w:val="17"/>
              </w:rPr>
              <w:t>3.3–3.87</w:t>
            </w:r>
          </w:p>
        </w:tc>
        <w:tc>
          <w:tcPr>
            <w:tcW w:type="dxa" w:w="2016"/>
            <w:vAlign w:val="center"/>
          </w:tcPr>
          <w:p>
            <w:pPr>
              <w:spacing w:after="0" w:line="240" w:lineRule="auto"/>
              <w:jc w:val="center"/>
            </w:pPr>
            <w:r>
              <w:rPr>
                <w:rFonts w:ascii="Times New Roman" w:hAnsi="Times New Roman" w:cs="Times New Roman"/>
                <w:sz w:val="17"/>
                <w:szCs w:val="17"/>
              </w:rPr>
              <w:t>4 × 4 square-patch metasurface above each patch; gain; strips pinned to ground decouple</w:t>
            </w:r>
          </w:p>
        </w:tc>
        <w:tc>
          <w:tcPr>
            <w:tcW w:type="dxa" w:w="1008"/>
            <w:vAlign w:val="center"/>
          </w:tcPr>
          <w:p>
            <w:pPr>
              <w:spacing w:after="0" w:line="240" w:lineRule="auto"/>
              <w:jc w:val="center"/>
            </w:pPr>
            <w:r>
              <w:rPr>
                <w:rFonts w:ascii="Times New Roman" w:hAnsi="Times New Roman" w:cs="Times New Roman"/>
                <w:sz w:val="17"/>
                <w:szCs w:val="17"/>
              </w:rPr>
              <w:t>&gt; 32</w:t>
            </w:r>
          </w:p>
        </w:tc>
        <w:tc>
          <w:tcPr>
            <w:tcW w:type="dxa" w:w="1080"/>
            <w:vAlign w:val="center"/>
          </w:tcPr>
          <w:p>
            <w:pPr>
              <w:spacing w:after="0" w:line="240" w:lineRule="auto"/>
              <w:jc w:val="center"/>
            </w:pPr>
            <w:r>
              <w:rPr>
                <w:rFonts w:ascii="Times New Roman" w:hAnsi="Times New Roman" w:cs="Times New Roman"/>
                <w:sz w:val="17"/>
                <w:szCs w:val="17"/>
              </w:rPr>
              <w:t>&lt; 0.001</w:t>
            </w:r>
          </w:p>
        </w:tc>
        <w:tc>
          <w:tcPr>
            <w:tcW w:type="dxa" w:w="1224"/>
            <w:vAlign w:val="center"/>
          </w:tcPr>
          <w:p>
            <w:pPr>
              <w:spacing w:after="0" w:line="240" w:lineRule="auto"/>
              <w:jc w:val="center"/>
            </w:pPr>
            <w:r>
              <w:rPr>
                <w:rFonts w:ascii="Times New Roman" w:hAnsi="Times New Roman" w:cs="Times New Roman"/>
                <w:sz w:val="17"/>
                <w:szCs w:val="17"/>
              </w:rPr>
              <w:t>6.3 → 8.1 (element); 8.72 (array)</w:t>
            </w:r>
          </w:p>
        </w:tc>
      </w:tr>
      <w:tr>
        <w:tc>
          <w:tcPr>
            <w:tcW w:type="dxa" w:w="792"/>
            <w:vAlign w:val="center"/>
          </w:tcPr>
          <w:p>
            <w:pPr>
              <w:spacing w:after="0" w:line="240" w:lineRule="auto"/>
              <w:jc w:val="left"/>
            </w:pPr>
            <w:r>
              <w:rPr>
                <w:rFonts w:ascii="Times New Roman" w:hAnsi="Times New Roman" w:cs="Times New Roman"/>
                <w:sz w:val="17"/>
                <w:szCs w:val="17"/>
              </w:rPr>
              <w:t>[17]</w:t>
            </w:r>
          </w:p>
        </w:tc>
        <w:tc>
          <w:tcPr>
            <w:tcW w:type="dxa" w:w="1368"/>
            <w:vAlign w:val="center"/>
          </w:tcPr>
          <w:p>
            <w:pPr>
              <w:spacing w:after="0" w:line="240" w:lineRule="auto"/>
              <w:jc w:val="center"/>
            </w:pPr>
            <w:r>
              <w:rPr>
                <w:rFonts w:ascii="Times New Roman" w:hAnsi="Times New Roman" w:cs="Times New Roman"/>
                <w:sz w:val="17"/>
                <w:szCs w:val="17"/>
              </w:rPr>
              <w:t>4 (rotated 90°); 24 × 24</w:t>
            </w:r>
          </w:p>
        </w:tc>
        <w:tc>
          <w:tcPr>
            <w:tcW w:type="dxa" w:w="1152"/>
            <w:vAlign w:val="center"/>
          </w:tcPr>
          <w:p>
            <w:pPr>
              <w:spacing w:after="0" w:line="240" w:lineRule="auto"/>
              <w:jc w:val="center"/>
            </w:pPr>
            <w:r>
              <w:rPr>
                <w:rFonts w:ascii="Times New Roman" w:hAnsi="Times New Roman" w:cs="Times New Roman"/>
                <w:sz w:val="17"/>
                <w:szCs w:val="17"/>
              </w:rPr>
              <w:t>23.5–29.4</w:t>
            </w:r>
          </w:p>
        </w:tc>
        <w:tc>
          <w:tcPr>
            <w:tcW w:type="dxa" w:w="2016"/>
            <w:vAlign w:val="center"/>
          </w:tcPr>
          <w:p>
            <w:pPr>
              <w:spacing w:after="0" w:line="240" w:lineRule="auto"/>
              <w:jc w:val="center"/>
            </w:pPr>
            <w:r>
              <w:rPr>
                <w:rFonts w:ascii="Times New Roman" w:hAnsi="Times New Roman" w:cs="Times New Roman"/>
                <w:sz w:val="17"/>
                <w:szCs w:val="17"/>
              </w:rPr>
              <w:t>2 × 2 non-uniform metasurface; behind the array: gain</w:t>
            </w:r>
          </w:p>
        </w:tc>
        <w:tc>
          <w:tcPr>
            <w:tcW w:type="dxa" w:w="1008"/>
            <w:vAlign w:val="center"/>
          </w:tcPr>
          <w:p>
            <w:pPr>
              <w:spacing w:after="0" w:line="240" w:lineRule="auto"/>
              <w:jc w:val="center"/>
            </w:pPr>
            <w:r>
              <w:rPr>
                <w:rFonts w:ascii="Times New Roman" w:hAnsi="Times New Roman" w:cs="Times New Roman"/>
                <w:sz w:val="17"/>
                <w:szCs w:val="17"/>
              </w:rPr>
              <w:t>unverified</w:t>
            </w:r>
          </w:p>
        </w:tc>
        <w:tc>
          <w:tcPr>
            <w:tcW w:type="dxa" w:w="1080"/>
            <w:vAlign w:val="center"/>
          </w:tcPr>
          <w:p>
            <w:pPr>
              <w:spacing w:after="0" w:line="240" w:lineRule="auto"/>
              <w:jc w:val="center"/>
            </w:pPr>
            <w:r>
              <w:rPr>
                <w:rFonts w:ascii="Times New Roman" w:hAnsi="Times New Roman" w:cs="Times New Roman"/>
                <w:sz w:val="17"/>
                <w:szCs w:val="17"/>
              </w:rPr>
              <w:t>unverified</w:t>
            </w:r>
          </w:p>
        </w:tc>
        <w:tc>
          <w:tcPr>
            <w:tcW w:type="dxa" w:w="1224"/>
            <w:vAlign w:val="center"/>
          </w:tcPr>
          <w:p>
            <w:pPr>
              <w:spacing w:after="0" w:line="240" w:lineRule="auto"/>
              <w:jc w:val="center"/>
            </w:pPr>
            <w:r>
              <w:rPr>
                <w:rFonts w:ascii="Times New Roman" w:hAnsi="Times New Roman" w:cs="Times New Roman"/>
                <w:sz w:val="17"/>
                <w:szCs w:val="17"/>
              </w:rPr>
              <w:t>≈ 7 → 10.44</w:t>
            </w:r>
          </w:p>
        </w:tc>
      </w:tr>
      <w:tr>
        <w:tc>
          <w:tcPr>
            <w:tcW w:type="dxa" w:w="792"/>
            <w:vAlign w:val="center"/>
          </w:tcPr>
          <w:p>
            <w:pPr>
              <w:spacing w:after="0" w:line="240" w:lineRule="auto"/>
              <w:jc w:val="left"/>
            </w:pPr>
            <w:r>
              <w:rPr>
                <w:rFonts w:ascii="Times New Roman" w:hAnsi="Times New Roman" w:cs="Times New Roman"/>
                <w:sz w:val="17"/>
                <w:szCs w:val="17"/>
              </w:rPr>
              <w:t>[18]</w:t>
            </w:r>
          </w:p>
        </w:tc>
        <w:tc>
          <w:tcPr>
            <w:tcW w:type="dxa" w:w="1368"/>
            <w:vAlign w:val="center"/>
          </w:tcPr>
          <w:p>
            <w:pPr>
              <w:spacing w:after="0" w:line="240" w:lineRule="auto"/>
              <w:jc w:val="center"/>
            </w:pPr>
            <w:r>
              <w:rPr>
                <w:rFonts w:ascii="Times New Roman" w:hAnsi="Times New Roman" w:cs="Times New Roman"/>
                <w:sz w:val="17"/>
                <w:szCs w:val="17"/>
              </w:rPr>
              <w:t>4 (orthogonal); 1.05λ × 1.05λ</w:t>
            </w:r>
          </w:p>
        </w:tc>
        <w:tc>
          <w:tcPr>
            <w:tcW w:type="dxa" w:w="1152"/>
            <w:vAlign w:val="center"/>
          </w:tcPr>
          <w:p>
            <w:pPr>
              <w:spacing w:after="0" w:line="240" w:lineRule="auto"/>
              <w:jc w:val="center"/>
            </w:pPr>
            <w:r>
              <w:rPr>
                <w:rFonts w:ascii="Times New Roman" w:hAnsi="Times New Roman" w:cs="Times New Roman"/>
                <w:sz w:val="17"/>
                <w:szCs w:val="17"/>
              </w:rPr>
              <w:t>3.08–7.75 (3.2–7.6 also quoted)</w:t>
            </w:r>
          </w:p>
        </w:tc>
        <w:tc>
          <w:tcPr>
            <w:tcW w:type="dxa" w:w="2016"/>
            <w:vAlign w:val="center"/>
          </w:tcPr>
          <w:p>
            <w:pPr>
              <w:spacing w:after="0" w:line="240" w:lineRule="auto"/>
              <w:jc w:val="center"/>
            </w:pPr>
            <w:r>
              <w:rPr>
                <w:rFonts w:ascii="Times New Roman" w:hAnsi="Times New Roman" w:cs="Times New Roman"/>
                <w:sz w:val="17"/>
                <w:szCs w:val="17"/>
              </w:rPr>
              <w:t>10 × 10 square-enclosed circular SRRs, copper-backed, 12 mm air gap below; reflector: gain and isolation</w:t>
            </w:r>
          </w:p>
        </w:tc>
        <w:tc>
          <w:tcPr>
            <w:tcW w:type="dxa" w:w="1008"/>
            <w:vAlign w:val="center"/>
          </w:tcPr>
          <w:p>
            <w:pPr>
              <w:spacing w:after="0" w:line="240" w:lineRule="auto"/>
              <w:jc w:val="center"/>
            </w:pPr>
            <w:r>
              <w:rPr>
                <w:rFonts w:ascii="Times New Roman" w:hAnsi="Times New Roman" w:cs="Times New Roman"/>
                <w:sz w:val="17"/>
                <w:szCs w:val="17"/>
              </w:rPr>
              <w:t>&gt; 15.5</w:t>
            </w:r>
          </w:p>
        </w:tc>
        <w:tc>
          <w:tcPr>
            <w:tcW w:type="dxa" w:w="1080"/>
            <w:vAlign w:val="center"/>
          </w:tcPr>
          <w:p>
            <w:pPr>
              <w:spacing w:after="0" w:line="240" w:lineRule="auto"/>
              <w:jc w:val="center"/>
            </w:pPr>
            <w:r>
              <w:rPr>
                <w:rFonts w:ascii="Times New Roman" w:hAnsi="Times New Roman" w:cs="Times New Roman"/>
                <w:sz w:val="17"/>
                <w:szCs w:val="17"/>
              </w:rPr>
              <w:t>&lt; 0.004</w:t>
            </w:r>
          </w:p>
        </w:tc>
        <w:tc>
          <w:tcPr>
            <w:tcW w:type="dxa" w:w="1224"/>
            <w:vAlign w:val="center"/>
          </w:tcPr>
          <w:p>
            <w:pPr>
              <w:spacing w:after="0" w:line="240" w:lineRule="auto"/>
              <w:jc w:val="center"/>
            </w:pPr>
            <w:r>
              <w:rPr>
                <w:rFonts w:ascii="Times New Roman" w:hAnsi="Times New Roman" w:cs="Times New Roman"/>
                <w:sz w:val="17"/>
                <w:szCs w:val="17"/>
              </w:rPr>
              <w:t>5.4 → 8.3 (realized)</w:t>
            </w:r>
          </w:p>
        </w:tc>
      </w:tr>
      <w:tr>
        <w:tc>
          <w:tcPr>
            <w:tcW w:type="dxa" w:w="792"/>
            <w:vAlign w:val="center"/>
          </w:tcPr>
          <w:p>
            <w:pPr>
              <w:spacing w:after="0" w:line="240" w:lineRule="auto"/>
              <w:jc w:val="left"/>
            </w:pPr>
            <w:r>
              <w:rPr>
                <w:rFonts w:ascii="Times New Roman" w:hAnsi="Times New Roman" w:cs="Times New Roman"/>
                <w:sz w:val="17"/>
                <w:szCs w:val="17"/>
              </w:rPr>
              <w:t>[19]</w:t>
            </w:r>
          </w:p>
        </w:tc>
        <w:tc>
          <w:tcPr>
            <w:tcW w:type="dxa" w:w="1368"/>
            <w:vAlign w:val="center"/>
          </w:tcPr>
          <w:p>
            <w:pPr>
              <w:spacing w:after="0" w:line="240" w:lineRule="auto"/>
              <w:jc w:val="center"/>
            </w:pPr>
            <w:r>
              <w:rPr>
                <w:rFonts w:ascii="Times New Roman" w:hAnsi="Times New Roman" w:cs="Times New Roman"/>
                <w:sz w:val="17"/>
                <w:szCs w:val="17"/>
              </w:rPr>
              <w:t>4 (2 × 2); unverified</w:t>
            </w:r>
          </w:p>
        </w:tc>
        <w:tc>
          <w:tcPr>
            <w:tcW w:type="dxa" w:w="1152"/>
            <w:vAlign w:val="center"/>
          </w:tcPr>
          <w:p>
            <w:pPr>
              <w:spacing w:after="0" w:line="240" w:lineRule="auto"/>
              <w:jc w:val="center"/>
            </w:pPr>
            <w:r>
              <w:rPr>
                <w:rFonts w:ascii="Times New Roman" w:hAnsi="Times New Roman" w:cs="Times New Roman"/>
                <w:sz w:val="17"/>
                <w:szCs w:val="17"/>
              </w:rPr>
              <w:t>5.0–6.6</w:t>
            </w:r>
          </w:p>
        </w:tc>
        <w:tc>
          <w:tcPr>
            <w:tcW w:type="dxa" w:w="2016"/>
            <w:vAlign w:val="center"/>
          </w:tcPr>
          <w:p>
            <w:pPr>
              <w:spacing w:after="0" w:line="240" w:lineRule="auto"/>
              <w:jc w:val="center"/>
            </w:pPr>
            <w:r>
              <w:rPr>
                <w:rFonts w:ascii="Times New Roman" w:hAnsi="Times New Roman" w:cs="Times New Roman"/>
                <w:sz w:val="17"/>
                <w:szCs w:val="17"/>
              </w:rPr>
              <w:t>Sub-wavelength slots etched in the radiators; bandwidth and gain; EBG between elements decouples</w:t>
            </w:r>
          </w:p>
        </w:tc>
        <w:tc>
          <w:tcPr>
            <w:tcW w:type="dxa" w:w="1008"/>
            <w:vAlign w:val="center"/>
          </w:tcPr>
          <w:p>
            <w:pPr>
              <w:spacing w:after="0" w:line="240" w:lineRule="auto"/>
              <w:jc w:val="center"/>
            </w:pPr>
            <w:r>
              <w:rPr>
                <w:rFonts w:ascii="Times New Roman" w:hAnsi="Times New Roman" w:cs="Times New Roman"/>
                <w:sz w:val="17"/>
                <w:szCs w:val="17"/>
              </w:rPr>
              <w:t>&gt; 34.8</w:t>
            </w:r>
          </w:p>
        </w:tc>
        <w:tc>
          <w:tcPr>
            <w:tcW w:type="dxa" w:w="1080"/>
            <w:vAlign w:val="center"/>
          </w:tcPr>
          <w:p>
            <w:pPr>
              <w:spacing w:after="0" w:line="240" w:lineRule="auto"/>
              <w:jc w:val="center"/>
            </w:pPr>
            <w:r>
              <w:rPr>
                <w:rFonts w:ascii="Times New Roman" w:hAnsi="Times New Roman" w:cs="Times New Roman"/>
                <w:sz w:val="17"/>
                <w:szCs w:val="17"/>
              </w:rPr>
              <w:t>unverified</w:t>
            </w:r>
          </w:p>
        </w:tc>
        <w:tc>
          <w:tcPr>
            <w:tcW w:type="dxa" w:w="1224"/>
            <w:vAlign w:val="center"/>
          </w:tcPr>
          <w:p>
            <w:pPr>
              <w:spacing w:after="0" w:line="240" w:lineRule="auto"/>
              <w:jc w:val="center"/>
            </w:pPr>
            <w:r>
              <w:rPr>
                <w:rFonts w:ascii="Times New Roman" w:hAnsi="Times New Roman" w:cs="Times New Roman"/>
                <w:sz w:val="17"/>
                <w:szCs w:val="17"/>
              </w:rPr>
              <w:t>10 (avg.); 8.65–10.5 when bent</w:t>
            </w:r>
          </w:p>
        </w:tc>
      </w:tr>
      <w:tr>
        <w:tc>
          <w:tcPr>
            <w:tcW w:type="dxa" w:w="792"/>
            <w:vAlign w:val="center"/>
          </w:tcPr>
          <w:p>
            <w:pPr>
              <w:spacing w:after="0" w:line="240" w:lineRule="auto"/>
              <w:jc w:val="left"/>
            </w:pPr>
            <w:r>
              <w:rPr>
                <w:rFonts w:ascii="Times New Roman" w:hAnsi="Times New Roman" w:cs="Times New Roman"/>
                <w:sz w:val="17"/>
                <w:szCs w:val="17"/>
              </w:rPr>
              <w:t>[20]</w:t>
            </w:r>
          </w:p>
        </w:tc>
        <w:tc>
          <w:tcPr>
            <w:tcW w:type="dxa" w:w="1368"/>
            <w:vAlign w:val="center"/>
          </w:tcPr>
          <w:p>
            <w:pPr>
              <w:spacing w:after="0" w:line="240" w:lineRule="auto"/>
              <w:jc w:val="center"/>
            </w:pPr>
            <w:r>
              <w:rPr>
                <w:rFonts w:ascii="Times New Roman" w:hAnsi="Times New Roman" w:cs="Times New Roman"/>
                <w:sz w:val="17"/>
                <w:szCs w:val="17"/>
              </w:rPr>
              <w:t>2; 1.67λ</w:t>
            </w:r>
            <w:r>
              <w:rPr>
                <w:rFonts w:ascii="Times New Roman" w:hAnsi="Times New Roman" w:cs="Times New Roman"/>
                <w:sz w:val="17"/>
                <w:szCs w:val="17"/>
                <w:vertAlign w:val="subscript"/>
              </w:rPr>
              <w:t>0</w:t>
            </w:r>
            <w:r>
              <w:rPr>
                <w:rFonts w:ascii="Times New Roman" w:hAnsi="Times New Roman" w:cs="Times New Roman"/>
                <w:sz w:val="17"/>
                <w:szCs w:val="17"/>
              </w:rPr>
              <w:t xml:space="preserve"> × 0.81λ</w:t>
            </w:r>
            <w:r>
              <w:rPr>
                <w:rFonts w:ascii="Times New Roman" w:hAnsi="Times New Roman" w:cs="Times New Roman"/>
                <w:sz w:val="17"/>
                <w:szCs w:val="17"/>
                <w:vertAlign w:val="subscript"/>
              </w:rPr>
              <w:t>0</w:t>
            </w:r>
            <w:r>
              <w:rPr>
                <w:rFonts w:ascii="Times New Roman" w:hAnsi="Times New Roman" w:cs="Times New Roman"/>
                <w:sz w:val="17"/>
                <w:szCs w:val="17"/>
              </w:rPr>
              <w:t xml:space="preserve"> (5.6 GHz)</w:t>
            </w:r>
          </w:p>
        </w:tc>
        <w:tc>
          <w:tcPr>
            <w:tcW w:type="dxa" w:w="1152"/>
            <w:vAlign w:val="center"/>
          </w:tcPr>
          <w:p>
            <w:pPr>
              <w:spacing w:after="0" w:line="240" w:lineRule="auto"/>
              <w:jc w:val="center"/>
            </w:pPr>
            <w:r>
              <w:rPr>
                <w:rFonts w:ascii="Times New Roman" w:hAnsi="Times New Roman" w:cs="Times New Roman"/>
                <w:sz w:val="17"/>
                <w:szCs w:val="17"/>
              </w:rPr>
              <w:t>4.76–6.77 (meas.)</w:t>
            </w:r>
          </w:p>
        </w:tc>
        <w:tc>
          <w:tcPr>
            <w:tcW w:type="dxa" w:w="2016"/>
            <w:vAlign w:val="center"/>
          </w:tcPr>
          <w:p>
            <w:pPr>
              <w:spacing w:after="0" w:line="240" w:lineRule="auto"/>
              <w:jc w:val="center"/>
            </w:pPr>
            <w:r>
              <w:rPr>
                <w:rFonts w:ascii="Times New Roman" w:hAnsi="Times New Roman" w:cs="Times New Roman"/>
                <w:sz w:val="17"/>
                <w:szCs w:val="17"/>
              </w:rPr>
              <w:t>Polarization-conversion metasurface; circular polarization and gain</w:t>
            </w:r>
          </w:p>
        </w:tc>
        <w:tc>
          <w:tcPr>
            <w:tcW w:type="dxa" w:w="1008"/>
            <w:vAlign w:val="center"/>
          </w:tcPr>
          <w:p>
            <w:pPr>
              <w:spacing w:after="0" w:line="240" w:lineRule="auto"/>
              <w:jc w:val="center"/>
            </w:pPr>
            <w:r>
              <w:rPr>
                <w:rFonts w:ascii="Times New Roman" w:hAnsi="Times New Roman" w:cs="Times New Roman"/>
                <w:sz w:val="17"/>
                <w:szCs w:val="17"/>
              </w:rPr>
              <w:t>&gt; 19.85 (strip)</w:t>
            </w:r>
          </w:p>
        </w:tc>
        <w:tc>
          <w:tcPr>
            <w:tcW w:type="dxa" w:w="1080"/>
            <w:vAlign w:val="center"/>
          </w:tcPr>
          <w:p>
            <w:pPr>
              <w:spacing w:after="0" w:line="240" w:lineRule="auto"/>
              <w:jc w:val="center"/>
            </w:pPr>
            <w:r>
              <w:rPr>
                <w:rFonts w:ascii="Times New Roman" w:hAnsi="Times New Roman" w:cs="Times New Roman"/>
                <w:sz w:val="17"/>
                <w:szCs w:val="17"/>
              </w:rPr>
              <w:t>&lt; 0.007</w:t>
            </w:r>
          </w:p>
        </w:tc>
        <w:tc>
          <w:tcPr>
            <w:tcW w:type="dxa" w:w="1224"/>
            <w:vAlign w:val="center"/>
          </w:tcPr>
          <w:p>
            <w:pPr>
              <w:spacing w:after="0" w:line="240" w:lineRule="auto"/>
              <w:jc w:val="center"/>
            </w:pPr>
            <w:r>
              <w:rPr>
                <w:rFonts w:ascii="Times New Roman" w:hAnsi="Times New Roman" w:cs="Times New Roman"/>
                <w:sz w:val="17"/>
                <w:szCs w:val="17"/>
              </w:rPr>
              <w:t>7.95 dBic</w:t>
            </w:r>
          </w:p>
        </w:tc>
      </w:tr>
    </w:tbl>
    <w:p>
      <w:pPr>
        <w:spacing w:after="40"/>
      </w:pPr>
    </w:p>
    <w:p>
      <w:pPr>
        <w:pStyle w:val="Heading1"/>
        <w:rPr>
          <w:rFonts w:ascii="Times New Roman" w:hAnsi="Times New Roman" w:cs="Times New Roman"/>
          <w:sz w:val="24"/>
          <w:szCs w:val="24"/>
        </w:rPr>
      </w:pPr>
      <w:r>
        <w:rPr>
          <w:rFonts w:ascii="Times New Roman" w:hAnsi="Times New Roman" w:cs="Times New Roman"/>
          <w:sz w:val="24"/>
          <w:szCs w:val="24"/>
        </w:rPr>
        <w:t>Research Gap and Position of This Work</w:t>
      </w:r>
    </w:p>
    <w:p>
      <w:pPr>
        <w:jc w:val="both"/>
      </w:pPr>
      <w:r>
        <w:rPr>
          <w:rFonts w:ascii="Times New Roman" w:hAnsi="Times New Roman" w:cs="Times New Roman"/>
          <w:b/>
          <w:sz w:val="24"/>
          <w:szCs w:val="24"/>
        </w:rPr>
        <w:t>Reflector distance.</w:t>
      </w:r>
      <w:r>
        <w:rPr>
          <w:rFonts w:ascii="Times New Roman" w:hAnsi="Times New Roman" w:cs="Times New Roman"/>
          <w:sz w:val="24"/>
          <w:szCs w:val="24"/>
        </w:rPr>
        <w:t xml:space="preserve"> The single-antenna reflectors reviewed sit 9 mm [13], 10 mm (total profile) [12] and 20 mm [14] behind the antenna, about 0.07–0.21 of a wavelength at the lowest operating frequency. The ground-backed AMC of [15] sits closer across a small air gap, but its band (3.5–6.5 GHz) is far narrower than UWB. Phase I places the metasurface only 3.9 mm (0.04λ at 3.1 GHz) behind an antenna that covers 2.16–15.73 GHz: a lower profile, but a harder in-phase condition and stronger near-field loading.</w:t>
      </w:r>
    </w:p>
    <w:p>
      <w:pPr>
        <w:jc w:val="both"/>
      </w:pPr>
      <w:r>
        <w:rPr>
          <w:rFonts w:ascii="Times New Roman" w:hAnsi="Times New Roman" w:cs="Times New Roman"/>
          <w:b/>
          <w:sz w:val="24"/>
          <w:szCs w:val="24"/>
        </w:rPr>
        <w:t>Cell type.</w:t>
      </w:r>
      <w:r>
        <w:rPr>
          <w:rFonts w:ascii="Times New Roman" w:hAnsi="Times New Roman" w:cs="Times New Roman"/>
          <w:sz w:val="24"/>
          <w:szCs w:val="24"/>
        </w:rPr>
        <w:t xml:space="preserve"> Only [11] uses split-ring cells behind a UWB monopole, varying the split angle across the array to widen the in-phase band; the others use ring, loop and patch FSS or AMC cells [12]–[15]. A split-ring metasurface also appears in the MIMO design of [18], but over 3.1–7.7 GHz. A single-SRR metasurface behind a CPW-fed antenna covering the whole UWB band is not reported in the papers reviewed.</w:t>
      </w:r>
    </w:p>
    <w:p>
      <w:pPr>
        <w:jc w:val="both"/>
      </w:pPr>
      <w:r>
        <w:rPr>
          <w:rFonts w:ascii="Times New Roman" w:hAnsi="Times New Roman" w:cs="Times New Roman"/>
          <w:b/>
          <w:sz w:val="24"/>
          <w:szCs w:val="24"/>
        </w:rPr>
        <w:t>Baselines and reporting.</w:t>
      </w:r>
      <w:r>
        <w:rPr>
          <w:rFonts w:ascii="Times New Roman" w:hAnsi="Times New Roman" w:cs="Times New Roman"/>
          <w:sz w:val="24"/>
          <w:szCs w:val="24"/>
        </w:rPr>
        <w:t xml:space="preserve"> Neither of the two papers read in full compares its reflector with a plain metal plate at the same gap, and gain is usually quoted as a single peak value, often without saying whether it is realized gain. This project compares the antenna alone, a metal plate and the SRR metasurface at the same 3.9 mm gap, reports gain across the band and states which gain is shown.</w:t>
      </w:r>
    </w:p>
    <w:p>
      <w:pPr>
        <w:jc w:val="both"/>
      </w:pPr>
      <w:r>
        <w:rPr>
          <w:rFonts w:ascii="Times New Roman" w:hAnsi="Times New Roman" w:cs="Times New Roman"/>
          <w:b/>
          <w:sz w:val="24"/>
          <w:szCs w:val="24"/>
        </w:rPr>
        <w:t>MIMO.</w:t>
      </w:r>
      <w:r>
        <w:rPr>
          <w:rFonts w:ascii="Times New Roman" w:hAnsi="Times New Roman" w:cs="Times New Roman"/>
          <w:sz w:val="24"/>
          <w:szCs w:val="24"/>
        </w:rPr>
        <w:t xml:space="preserve"> The MIMO papers use metasurfaces for gain [17], [18], for decoupling together with other structures [16], [19] and for polarization conversion [20], but all in bands far narrower than UWB (3.3–3.87, 3.1–7.7, 5.0–6.6, 4.76–6.77 and 23.5–29.4 GHz). A UWB MIMO antenna with an SRR metasurface reflector is the open target of Phase II.</w:t>
      </w:r>
    </w:p>
    <w:p>
      <w:pPr>
        <w:jc w:val="both"/>
      </w:pPr>
      <w:r>
        <w:rPr>
          <w:rFonts w:ascii="Times New Roman" w:hAnsi="Times New Roman" w:cs="Times New Roman"/>
          <w:sz w:val="24"/>
          <w:szCs w:val="24"/>
        </w:rPr>
        <w:t>In this project the metasurface sits h = 3.9 mm behind the antenna, only 0.040λ</w:t>
      </w:r>
      <w:r>
        <w:rPr>
          <w:rFonts w:ascii="Times New Roman" w:hAnsi="Times New Roman" w:cs="Times New Roman"/>
          <w:sz w:val="24"/>
          <w:szCs w:val="24"/>
          <w:vertAlign w:val="subscript"/>
        </w:rPr>
        <w:t>0</w:t>
      </w:r>
      <w:r>
        <w:rPr>
          <w:rFonts w:ascii="Times New Roman" w:hAnsi="Times New Roman" w:cs="Times New Roman"/>
          <w:sz w:val="24"/>
          <w:szCs w:val="24"/>
        </w:rPr>
        <w:t xml:space="preserve"> at 3.1 GHz. From (2), the round-trip term 2k</w:t>
      </w:r>
      <w:r>
        <w:rPr>
          <w:rFonts w:ascii="Times New Roman" w:hAnsi="Times New Roman" w:cs="Times New Roman"/>
          <w:sz w:val="24"/>
          <w:szCs w:val="24"/>
          <w:vertAlign w:val="subscript"/>
        </w:rPr>
        <w:t>0</w:t>
      </w:r>
      <w:r>
        <w:rPr>
          <w:rFonts w:ascii="Times New Roman" w:hAnsi="Times New Roman" w:cs="Times New Roman"/>
          <w:sz w:val="24"/>
          <w:szCs w:val="24"/>
        </w:rPr>
        <w:t>h is 29° at 3.1 GHz and 99° at 10.6 GHz (computed). A PEC plate at this gap would therefore be 151° out of phase at 3.1 GHz and largely cancel the forward radiation, whereas a metasurface whose reflection phase stays within ±90° of 2k</w:t>
      </w:r>
      <w:r>
        <w:rPr>
          <w:rFonts w:ascii="Times New Roman" w:hAnsi="Times New Roman" w:cs="Times New Roman"/>
          <w:sz w:val="24"/>
          <w:szCs w:val="24"/>
          <w:vertAlign w:val="subscript"/>
        </w:rPr>
        <w:t>0</w:t>
      </w:r>
      <w:r>
        <w:rPr>
          <w:rFonts w:ascii="Times New Roman" w:hAnsi="Times New Roman" w:cs="Times New Roman"/>
          <w:sz w:val="24"/>
          <w:szCs w:val="24"/>
        </w:rPr>
        <w:t>h adds to it. This simple ray picture ignores near-field coupling, which is strong at such a small gap, so the metasurface also loads the antenna and its impedance match must be re-checked with the metasurface in place.</w:t>
      </w:r>
    </w:p>
    <w:p>
      <w:pPr>
        <w:pStyle w:val="Heading1"/>
        <w:pageBreakBefore/>
        <w:rPr>
          <w:rFonts w:ascii="Times New Roman" w:hAnsi="Times New Roman" w:cs="Times New Roman"/>
          <w:sz w:val="24"/>
          <w:szCs w:val="24"/>
        </w:rPr>
      </w:pPr>
      <w:r>
        <w:rPr>
          <w:rFonts w:ascii="Times New Roman" w:hAnsi="Times New Roman" w:cs="Times New Roman"/>
          <w:sz w:val="24"/>
          <w:szCs w:val="24"/>
        </w:rPr>
        <w:t>References</w:t>
      </w:r>
    </w:p>
    <w:p>
      <w:pPr>
        <w:tabs>
          <w:tab w:pos="648" w:val="left"/>
        </w:tabs>
        <w:spacing w:after="80" w:line="240" w:lineRule="auto"/>
        <w:ind w:left="648" w:hanging="648"/>
        <w:jc w:val="both"/>
      </w:pPr>
      <w:r>
        <w:rPr>
          <w:rFonts w:ascii="Times New Roman" w:hAnsi="Times New Roman" w:cs="Times New Roman"/>
          <w:sz w:val="24"/>
          <w:szCs w:val="24"/>
        </w:rPr>
        <w:t>[1]</w:t>
        <w:tab/>
        <w:t>Federal Communications Commission, “Revision of Part 15 of the Commission’s rules regarding ultra-wideband transmission systems,” First Report and Order, ET Docket 98-153, FCC 02-48, Apr. 2002.</w:t>
      </w:r>
    </w:p>
    <w:p>
      <w:pPr>
        <w:tabs>
          <w:tab w:pos="648" w:val="left"/>
        </w:tabs>
        <w:spacing w:after="80" w:line="240" w:lineRule="auto"/>
        <w:ind w:left="648" w:hanging="648"/>
        <w:jc w:val="both"/>
      </w:pPr>
      <w:r>
        <w:rPr>
          <w:rFonts w:ascii="Times New Roman" w:hAnsi="Times New Roman" w:cs="Times New Roman"/>
          <w:sz w:val="24"/>
          <w:szCs w:val="24"/>
        </w:rPr>
        <w:t>[2]</w:t>
        <w:tab/>
        <w:t xml:space="preserve">N. P. Agrawall, G. Kumar, and K. P. Ray, “Wide-band planar monopole antennas,” </w:t>
      </w:r>
      <w:r>
        <w:rPr>
          <w:rFonts w:ascii="Times New Roman" w:hAnsi="Times New Roman" w:cs="Times New Roman"/>
          <w:i/>
          <w:sz w:val="24"/>
          <w:szCs w:val="24"/>
        </w:rPr>
        <w:t>IEEE Trans. Antennas Propag.</w:t>
      </w:r>
      <w:r>
        <w:rPr>
          <w:rFonts w:ascii="Times New Roman" w:hAnsi="Times New Roman" w:cs="Times New Roman"/>
          <w:sz w:val="24"/>
          <w:szCs w:val="24"/>
        </w:rPr>
        <w:t>, vol. 46, no. 2, pp. 294–295, Feb. 1998, doi: 10.1109/8.660976.</w:t>
      </w:r>
    </w:p>
    <w:p>
      <w:pPr>
        <w:tabs>
          <w:tab w:pos="648" w:val="left"/>
        </w:tabs>
        <w:spacing w:after="80" w:line="240" w:lineRule="auto"/>
        <w:ind w:left="648" w:hanging="648"/>
        <w:jc w:val="both"/>
      </w:pPr>
      <w:r>
        <w:rPr>
          <w:rFonts w:ascii="Times New Roman" w:hAnsi="Times New Roman" w:cs="Times New Roman"/>
          <w:sz w:val="24"/>
          <w:szCs w:val="24"/>
        </w:rPr>
        <w:t>[3]</w:t>
        <w:tab/>
        <w:t xml:space="preserve">K. P. Ray, “Design aspects of printed monopole antennas for ultra-wide band applications,” </w:t>
      </w:r>
      <w:r>
        <w:rPr>
          <w:rFonts w:ascii="Times New Roman" w:hAnsi="Times New Roman" w:cs="Times New Roman"/>
          <w:i/>
          <w:sz w:val="24"/>
          <w:szCs w:val="24"/>
        </w:rPr>
        <w:t>Int. J. Antennas Propag.</w:t>
      </w:r>
      <w:r>
        <w:rPr>
          <w:rFonts w:ascii="Times New Roman" w:hAnsi="Times New Roman" w:cs="Times New Roman"/>
          <w:sz w:val="24"/>
          <w:szCs w:val="24"/>
        </w:rPr>
        <w:t>, vol. 2008, Art. no. 713858, 2008, doi: 10.1155/2008/713858.</w:t>
      </w:r>
    </w:p>
    <w:p>
      <w:pPr>
        <w:tabs>
          <w:tab w:pos="648" w:val="left"/>
        </w:tabs>
        <w:spacing w:after="80" w:line="240" w:lineRule="auto"/>
        <w:ind w:left="648" w:hanging="648"/>
        <w:jc w:val="both"/>
      </w:pPr>
      <w:r>
        <w:rPr>
          <w:rFonts w:ascii="Times New Roman" w:hAnsi="Times New Roman" w:cs="Times New Roman"/>
          <w:sz w:val="24"/>
          <w:szCs w:val="24"/>
        </w:rPr>
        <w:t>[4]</w:t>
        <w:tab/>
        <w:t xml:space="preserve">R. N. Simons, </w:t>
      </w:r>
      <w:r>
        <w:rPr>
          <w:rFonts w:ascii="Times New Roman" w:hAnsi="Times New Roman" w:cs="Times New Roman"/>
          <w:i/>
          <w:sz w:val="24"/>
          <w:szCs w:val="24"/>
        </w:rPr>
        <w:t>Coplanar Waveguide Circuits, Components, and Systems</w:t>
      </w:r>
      <w:r>
        <w:rPr>
          <w:rFonts w:ascii="Times New Roman" w:hAnsi="Times New Roman" w:cs="Times New Roman"/>
          <w:sz w:val="24"/>
          <w:szCs w:val="24"/>
        </w:rPr>
        <w:t>. New York, NY, USA: Wiley, 2001, doi: 10.1002/0471224758.</w:t>
      </w:r>
    </w:p>
    <w:p>
      <w:pPr>
        <w:tabs>
          <w:tab w:pos="648" w:val="left"/>
        </w:tabs>
        <w:spacing w:after="80" w:line="240" w:lineRule="auto"/>
        <w:ind w:left="648" w:hanging="648"/>
        <w:jc w:val="both"/>
      </w:pPr>
      <w:r>
        <w:rPr>
          <w:rFonts w:ascii="Times New Roman" w:hAnsi="Times New Roman" w:cs="Times New Roman"/>
          <w:sz w:val="24"/>
          <w:szCs w:val="24"/>
        </w:rPr>
        <w:t>[5]</w:t>
        <w:tab/>
        <w:t xml:space="preserve">C. A. Balanis, </w:t>
      </w:r>
      <w:r>
        <w:rPr>
          <w:rFonts w:ascii="Times New Roman" w:hAnsi="Times New Roman" w:cs="Times New Roman"/>
          <w:i/>
          <w:sz w:val="24"/>
          <w:szCs w:val="24"/>
        </w:rPr>
        <w:t>Antenna Theory: Analysis and Design</w:t>
      </w:r>
      <w:r>
        <w:rPr>
          <w:rFonts w:ascii="Times New Roman" w:hAnsi="Times New Roman" w:cs="Times New Roman"/>
          <w:sz w:val="24"/>
          <w:szCs w:val="24"/>
        </w:rPr>
        <w:t>, 4th ed. Hoboken, NJ, USA: Wiley, 2016.</w:t>
      </w:r>
    </w:p>
    <w:p>
      <w:pPr>
        <w:tabs>
          <w:tab w:pos="648" w:val="left"/>
        </w:tabs>
        <w:spacing w:after="80" w:line="240" w:lineRule="auto"/>
        <w:ind w:left="648" w:hanging="648"/>
        <w:jc w:val="both"/>
      </w:pPr>
      <w:r>
        <w:rPr>
          <w:rFonts w:ascii="Times New Roman" w:hAnsi="Times New Roman" w:cs="Times New Roman"/>
          <w:sz w:val="24"/>
          <w:szCs w:val="24"/>
        </w:rPr>
        <w:t>[6]</w:t>
        <w:tab/>
        <w:t xml:space="preserve">C. L. Holloway, E. F. Kuester, J. A. Gordon, J. O’Hara, J. Booth, and D. R. Smith, “An overview of the theory and applications of metasurfaces: The two-dimensional equivalents of metamaterials,” </w:t>
      </w:r>
      <w:r>
        <w:rPr>
          <w:rFonts w:ascii="Times New Roman" w:hAnsi="Times New Roman" w:cs="Times New Roman"/>
          <w:i/>
          <w:sz w:val="24"/>
          <w:szCs w:val="24"/>
        </w:rPr>
        <w:t>IEEE Antennas Propag. Mag.</w:t>
      </w:r>
      <w:r>
        <w:rPr>
          <w:rFonts w:ascii="Times New Roman" w:hAnsi="Times New Roman" w:cs="Times New Roman"/>
          <w:sz w:val="24"/>
          <w:szCs w:val="24"/>
        </w:rPr>
        <w:t>, vol. 54, no. 2, pp. 10–35, Apr. 2012, doi: 10.1109/MAP.2012.6230714.</w:t>
      </w:r>
    </w:p>
    <w:p>
      <w:pPr>
        <w:tabs>
          <w:tab w:pos="648" w:val="left"/>
        </w:tabs>
        <w:spacing w:after="80" w:line="240" w:lineRule="auto"/>
        <w:ind w:left="648" w:hanging="648"/>
        <w:jc w:val="both"/>
      </w:pPr>
      <w:r>
        <w:rPr>
          <w:rFonts w:ascii="Times New Roman" w:hAnsi="Times New Roman" w:cs="Times New Roman"/>
          <w:sz w:val="24"/>
          <w:szCs w:val="24"/>
        </w:rPr>
        <w:t>[7]</w:t>
        <w:tab/>
        <w:t xml:space="preserve">J. B. Pendry, A. J. Holden, D. J. Robbins, and W. J. Stewart, “Magnetism from conductors and enhanced nonlinear phenomena,” </w:t>
      </w:r>
      <w:r>
        <w:rPr>
          <w:rFonts w:ascii="Times New Roman" w:hAnsi="Times New Roman" w:cs="Times New Roman"/>
          <w:i/>
          <w:sz w:val="24"/>
          <w:szCs w:val="24"/>
        </w:rPr>
        <w:t>IEEE Trans. Microw. Theory Techn.</w:t>
      </w:r>
      <w:r>
        <w:rPr>
          <w:rFonts w:ascii="Times New Roman" w:hAnsi="Times New Roman" w:cs="Times New Roman"/>
          <w:sz w:val="24"/>
          <w:szCs w:val="24"/>
        </w:rPr>
        <w:t>, vol. 47, no. 11, pp. 2075–2084, Nov. 1999, doi: 10.1109/22.798002.</w:t>
      </w:r>
    </w:p>
    <w:p>
      <w:pPr>
        <w:tabs>
          <w:tab w:pos="648" w:val="left"/>
        </w:tabs>
        <w:spacing w:after="80" w:line="240" w:lineRule="auto"/>
        <w:ind w:left="648" w:hanging="648"/>
        <w:jc w:val="both"/>
      </w:pPr>
      <w:r>
        <w:rPr>
          <w:rFonts w:ascii="Times New Roman" w:hAnsi="Times New Roman" w:cs="Times New Roman"/>
          <w:sz w:val="24"/>
          <w:szCs w:val="24"/>
        </w:rPr>
        <w:t>[8]</w:t>
        <w:tab/>
        <w:t xml:space="preserve">D. R. Smith, W. J. Padilla, D. C. Vier, S. C. Nemat-Nasser, and S. Schultz, “Composite medium with simultaneously negative permeability and permittivity,” </w:t>
      </w:r>
      <w:r>
        <w:rPr>
          <w:rFonts w:ascii="Times New Roman" w:hAnsi="Times New Roman" w:cs="Times New Roman"/>
          <w:i/>
          <w:sz w:val="24"/>
          <w:szCs w:val="24"/>
        </w:rPr>
        <w:t>Phys. Rev. Lett.</w:t>
      </w:r>
      <w:r>
        <w:rPr>
          <w:rFonts w:ascii="Times New Roman" w:hAnsi="Times New Roman" w:cs="Times New Roman"/>
          <w:sz w:val="24"/>
          <w:szCs w:val="24"/>
        </w:rPr>
        <w:t>, vol. 84, no. 18, pp. 4184–4187, May 2000, doi: 10.1103/PhysRevLett.84.4184.</w:t>
      </w:r>
    </w:p>
    <w:p>
      <w:pPr>
        <w:tabs>
          <w:tab w:pos="648" w:val="left"/>
        </w:tabs>
        <w:spacing w:after="80" w:line="240" w:lineRule="auto"/>
        <w:ind w:left="648" w:hanging="648"/>
        <w:jc w:val="both"/>
      </w:pPr>
      <w:r>
        <w:rPr>
          <w:rFonts w:ascii="Times New Roman" w:hAnsi="Times New Roman" w:cs="Times New Roman"/>
          <w:sz w:val="24"/>
          <w:szCs w:val="24"/>
        </w:rPr>
        <w:t>[9]</w:t>
        <w:tab/>
        <w:t xml:space="preserve">D. Sievenpiper, L. Zhang, R. F. J. Broas, N. G. Alexópolous, and E. Yablonovitch, “High-impedance electromagnetic surfaces with a forbidden frequency band,” </w:t>
      </w:r>
      <w:r>
        <w:rPr>
          <w:rFonts w:ascii="Times New Roman" w:hAnsi="Times New Roman" w:cs="Times New Roman"/>
          <w:i/>
          <w:sz w:val="24"/>
          <w:szCs w:val="24"/>
        </w:rPr>
        <w:t>IEEE Trans. Microw. Theory Techn.</w:t>
      </w:r>
      <w:r>
        <w:rPr>
          <w:rFonts w:ascii="Times New Roman" w:hAnsi="Times New Roman" w:cs="Times New Roman"/>
          <w:sz w:val="24"/>
          <w:szCs w:val="24"/>
        </w:rPr>
        <w:t>, vol. 47, no. 11, pp. 2059–2074, Nov. 1999, doi: 10.1109/22.798001.</w:t>
      </w:r>
    </w:p>
    <w:p>
      <w:pPr>
        <w:tabs>
          <w:tab w:pos="648" w:val="left"/>
        </w:tabs>
        <w:spacing w:after="80" w:line="240" w:lineRule="auto"/>
        <w:ind w:left="648" w:hanging="648"/>
        <w:jc w:val="both"/>
      </w:pPr>
      <w:r>
        <w:rPr>
          <w:rFonts w:ascii="Times New Roman" w:hAnsi="Times New Roman" w:cs="Times New Roman"/>
          <w:sz w:val="24"/>
          <w:szCs w:val="24"/>
        </w:rPr>
        <w:t>[10]</w:t>
        <w:tab/>
        <w:t xml:space="preserve">F. Yang and Y. Rahmat-Samii, “Reflection phase characterizations of the EBG ground plane for low profile wire antenna applications,” </w:t>
      </w:r>
      <w:r>
        <w:rPr>
          <w:rFonts w:ascii="Times New Roman" w:hAnsi="Times New Roman" w:cs="Times New Roman"/>
          <w:i/>
          <w:sz w:val="24"/>
          <w:szCs w:val="24"/>
        </w:rPr>
        <w:t>IEEE Trans. Antennas Propag.</w:t>
      </w:r>
      <w:r>
        <w:rPr>
          <w:rFonts w:ascii="Times New Roman" w:hAnsi="Times New Roman" w:cs="Times New Roman"/>
          <w:sz w:val="24"/>
          <w:szCs w:val="24"/>
        </w:rPr>
        <w:t>, vol. 51, no. 10, pp. 2691–2703, Oct. 2003, doi: 10.1109/TAP.2003.817559.</w:t>
      </w:r>
    </w:p>
    <w:p>
      <w:pPr>
        <w:tabs>
          <w:tab w:pos="648" w:val="left"/>
        </w:tabs>
        <w:spacing w:after="80" w:line="240" w:lineRule="auto"/>
        <w:ind w:left="648" w:hanging="648"/>
        <w:jc w:val="both"/>
      </w:pPr>
      <w:r>
        <w:rPr>
          <w:rFonts w:ascii="Times New Roman" w:hAnsi="Times New Roman" w:cs="Times New Roman"/>
          <w:sz w:val="24"/>
          <w:szCs w:val="24"/>
        </w:rPr>
        <w:t>[11]</w:t>
        <w:tab/>
        <w:t xml:space="preserve">G. Sen, A. Banerjee, M. Kumar, and S. Das, “An ultra-wideband monopole antenna with a gain enhanced performance using a novel split-ring meta-surface reflector,” </w:t>
      </w:r>
      <w:r>
        <w:rPr>
          <w:rFonts w:ascii="Times New Roman" w:hAnsi="Times New Roman" w:cs="Times New Roman"/>
          <w:i/>
          <w:sz w:val="24"/>
          <w:szCs w:val="24"/>
        </w:rPr>
        <w:t>Microw. Opt. Technol. Lett.</w:t>
      </w:r>
      <w:r>
        <w:rPr>
          <w:rFonts w:ascii="Times New Roman" w:hAnsi="Times New Roman" w:cs="Times New Roman"/>
          <w:sz w:val="24"/>
          <w:szCs w:val="24"/>
        </w:rPr>
        <w:t>, vol. 59, no. 6, pp. 1296–1300, 2017, doi: 10.1002/mop.30527.</w:t>
      </w:r>
    </w:p>
    <w:p>
      <w:pPr>
        <w:tabs>
          <w:tab w:pos="648" w:val="left"/>
        </w:tabs>
        <w:spacing w:after="80" w:line="240" w:lineRule="auto"/>
        <w:ind w:left="648" w:hanging="648"/>
        <w:jc w:val="both"/>
      </w:pPr>
      <w:r>
        <w:rPr>
          <w:rFonts w:ascii="Times New Roman" w:hAnsi="Times New Roman" w:cs="Times New Roman"/>
          <w:sz w:val="24"/>
          <w:szCs w:val="24"/>
        </w:rPr>
        <w:t>[12]</w:t>
        <w:tab/>
        <w:t xml:space="preserve">A. J. A. Al-Gburi, I. B. M. Ibrahim, Z. Zakaria, B. H. Ahmad, N. A. B. Shairi, and M. Y. Zeain, “High gain of UWB planar antenna utilising FSS reflector for UWB applications,” </w:t>
      </w:r>
      <w:r>
        <w:rPr>
          <w:rFonts w:ascii="Times New Roman" w:hAnsi="Times New Roman" w:cs="Times New Roman"/>
          <w:i/>
          <w:sz w:val="24"/>
          <w:szCs w:val="24"/>
        </w:rPr>
        <w:t>Comput. Mater. Contin.</w:t>
      </w:r>
      <w:r>
        <w:rPr>
          <w:rFonts w:ascii="Times New Roman" w:hAnsi="Times New Roman" w:cs="Times New Roman"/>
          <w:sz w:val="24"/>
          <w:szCs w:val="24"/>
        </w:rPr>
        <w:t>, vol. 70, no. 1, pp. 1425–1436, 2022, doi: 10.32604/cmc.2022.019741.</w:t>
      </w:r>
    </w:p>
    <w:p>
      <w:pPr>
        <w:tabs>
          <w:tab w:pos="648" w:val="left"/>
        </w:tabs>
        <w:spacing w:after="80" w:line="240" w:lineRule="auto"/>
        <w:ind w:left="648" w:hanging="648"/>
        <w:jc w:val="both"/>
      </w:pPr>
      <w:r>
        <w:rPr>
          <w:rFonts w:ascii="Times New Roman" w:hAnsi="Times New Roman" w:cs="Times New Roman"/>
          <w:sz w:val="24"/>
          <w:szCs w:val="24"/>
        </w:rPr>
        <w:t>[13]</w:t>
        <w:tab/>
        <w:t xml:space="preserve">M. Hussain, M. A. Sufian, M. S. Alzaidi, S. I. Naqvi, N. Hussain, D. H. Elkamchouchi, M. F. A. Sree, and S. Y. A. Fatah, “Bandwidth and gain enhancement of a CPW antenna using frequency selective surface for UWB applications,” </w:t>
      </w:r>
      <w:r>
        <w:rPr>
          <w:rFonts w:ascii="Times New Roman" w:hAnsi="Times New Roman" w:cs="Times New Roman"/>
          <w:i/>
          <w:sz w:val="24"/>
          <w:szCs w:val="24"/>
        </w:rPr>
        <w:t>Micromachines</w:t>
      </w:r>
      <w:r>
        <w:rPr>
          <w:rFonts w:ascii="Times New Roman" w:hAnsi="Times New Roman" w:cs="Times New Roman"/>
          <w:sz w:val="24"/>
          <w:szCs w:val="24"/>
        </w:rPr>
        <w:t>, vol. 14, no. 3, Art. no. 591, Feb. 2023, doi: 10.3390/mi14030591.</w:t>
      </w:r>
    </w:p>
    <w:p>
      <w:pPr>
        <w:tabs>
          <w:tab w:pos="648" w:val="left"/>
        </w:tabs>
        <w:spacing w:after="80" w:line="240" w:lineRule="auto"/>
        <w:ind w:left="648" w:hanging="648"/>
        <w:jc w:val="both"/>
      </w:pPr>
      <w:r>
        <w:rPr>
          <w:rFonts w:ascii="Times New Roman" w:hAnsi="Times New Roman" w:cs="Times New Roman"/>
          <w:sz w:val="24"/>
          <w:szCs w:val="24"/>
        </w:rPr>
        <w:t>[14]</w:t>
        <w:tab/>
        <w:t xml:space="preserve">B. Hammache, I. Messaoudene, M. Belazzoug, S. Titouni, A. Messai, and T. A. Denidni, “Gain enhancement of compact CPW-fed ultra-wideband antenna using an FSS reflector,” </w:t>
      </w:r>
      <w:r>
        <w:rPr>
          <w:rFonts w:ascii="Times New Roman" w:hAnsi="Times New Roman" w:cs="Times New Roman"/>
          <w:i/>
          <w:sz w:val="24"/>
          <w:szCs w:val="24"/>
        </w:rPr>
        <w:t>Microw. Opt. Technol. Lett.</w:t>
      </w:r>
      <w:r>
        <w:rPr>
          <w:rFonts w:ascii="Times New Roman" w:hAnsi="Times New Roman" w:cs="Times New Roman"/>
          <w:sz w:val="24"/>
          <w:szCs w:val="24"/>
        </w:rPr>
        <w:t>, vol. 66, no. 10, Art. no. e34344, 2024, doi: 10.1002/mop.34344.</w:t>
      </w:r>
    </w:p>
    <w:p>
      <w:pPr>
        <w:tabs>
          <w:tab w:pos="648" w:val="left"/>
        </w:tabs>
        <w:spacing w:after="80" w:line="240" w:lineRule="auto"/>
        <w:ind w:left="648" w:hanging="648"/>
        <w:jc w:val="both"/>
      </w:pPr>
      <w:r>
        <w:rPr>
          <w:rFonts w:ascii="Times New Roman" w:hAnsi="Times New Roman" w:cs="Times New Roman"/>
          <w:sz w:val="24"/>
          <w:szCs w:val="24"/>
        </w:rPr>
        <w:t>[15]</w:t>
        <w:tab/>
        <w:t xml:space="preserve">M. AboEl-Hassan, A. E. Farahat, and K. F. A. Hussein, “Gain enhancement wideband CPW antenna based on artificial magnetic conductor,” </w:t>
      </w:r>
      <w:r>
        <w:rPr>
          <w:rFonts w:ascii="Times New Roman" w:hAnsi="Times New Roman" w:cs="Times New Roman"/>
          <w:i/>
          <w:sz w:val="24"/>
          <w:szCs w:val="24"/>
        </w:rPr>
        <w:t>Sci. Rep.</w:t>
      </w:r>
      <w:r>
        <w:rPr>
          <w:rFonts w:ascii="Times New Roman" w:hAnsi="Times New Roman" w:cs="Times New Roman"/>
          <w:sz w:val="24"/>
          <w:szCs w:val="24"/>
        </w:rPr>
        <w:t>, vol. 15, Art. no. 7108, 2025, doi: 10.1038/s41598-025-89622-9.</w:t>
      </w:r>
    </w:p>
    <w:p>
      <w:pPr>
        <w:tabs>
          <w:tab w:pos="648" w:val="left"/>
        </w:tabs>
        <w:spacing w:after="80" w:line="240" w:lineRule="auto"/>
        <w:ind w:left="648" w:hanging="648"/>
        <w:jc w:val="both"/>
      </w:pPr>
      <w:r>
        <w:rPr>
          <w:rFonts w:ascii="Times New Roman" w:hAnsi="Times New Roman" w:cs="Times New Roman"/>
          <w:sz w:val="24"/>
          <w:szCs w:val="24"/>
        </w:rPr>
        <w:t>[16]</w:t>
        <w:tab/>
        <w:t xml:space="preserve">M. A. Sufian, N. Hussain, H. Askari, S. G. Park, K. S. Shin, and N. Kim, “Isolation enhancement of a metasurface-based MIMO antenna using slots and shorting pins,” </w:t>
      </w:r>
      <w:r>
        <w:rPr>
          <w:rFonts w:ascii="Times New Roman" w:hAnsi="Times New Roman" w:cs="Times New Roman"/>
          <w:i/>
          <w:sz w:val="24"/>
          <w:szCs w:val="24"/>
        </w:rPr>
        <w:t>IEEE Access</w:t>
      </w:r>
      <w:r>
        <w:rPr>
          <w:rFonts w:ascii="Times New Roman" w:hAnsi="Times New Roman" w:cs="Times New Roman"/>
          <w:sz w:val="24"/>
          <w:szCs w:val="24"/>
        </w:rPr>
        <w:t>, vol. 9, pp. 73533–73543, 2021, doi: 10.1109/ACCESS.2021.3079965.</w:t>
      </w:r>
    </w:p>
    <w:p>
      <w:pPr>
        <w:tabs>
          <w:tab w:pos="648" w:val="left"/>
        </w:tabs>
        <w:spacing w:after="80" w:line="240" w:lineRule="auto"/>
        <w:ind w:left="648" w:hanging="648"/>
        <w:jc w:val="both"/>
      </w:pPr>
      <w:r>
        <w:rPr>
          <w:rFonts w:ascii="Times New Roman" w:hAnsi="Times New Roman" w:cs="Times New Roman"/>
          <w:sz w:val="24"/>
          <w:szCs w:val="24"/>
        </w:rPr>
        <w:t>[17]</w:t>
        <w:tab/>
        <w:t xml:space="preserve">D. A. Sehrai, M. Asif, W. A. Shah, J. Khan, I. Ullah, M. Ibrar, S. Jan, M. Alibakhshikenari, F. Falcone, and E. Limiti, “Metasurface-based wideband MIMO antenna for 5G millimeter-wave systems,” </w:t>
      </w:r>
      <w:r>
        <w:rPr>
          <w:rFonts w:ascii="Times New Roman" w:hAnsi="Times New Roman" w:cs="Times New Roman"/>
          <w:i/>
          <w:sz w:val="24"/>
          <w:szCs w:val="24"/>
        </w:rPr>
        <w:t>IEEE Access</w:t>
      </w:r>
      <w:r>
        <w:rPr>
          <w:rFonts w:ascii="Times New Roman" w:hAnsi="Times New Roman" w:cs="Times New Roman"/>
          <w:sz w:val="24"/>
          <w:szCs w:val="24"/>
        </w:rPr>
        <w:t>, vol. 9, pp. 125348–125357, 2021, doi: 10.1109/ACCESS.2021.3110905.</w:t>
      </w:r>
    </w:p>
    <w:p>
      <w:pPr>
        <w:tabs>
          <w:tab w:pos="648" w:val="left"/>
        </w:tabs>
        <w:spacing w:after="80" w:line="240" w:lineRule="auto"/>
        <w:ind w:left="648" w:hanging="648"/>
        <w:jc w:val="both"/>
      </w:pPr>
      <w:r>
        <w:rPr>
          <w:rFonts w:ascii="Times New Roman" w:hAnsi="Times New Roman" w:cs="Times New Roman"/>
          <w:sz w:val="24"/>
          <w:szCs w:val="24"/>
        </w:rPr>
        <w:t>[18]</w:t>
        <w:tab/>
        <w:t xml:space="preserve">M. M. Hasan, M. T. Islam, M. Samsuzzaman, M. H. Baharuddin, M. S. Soliman, A. Alzamil, I. I. M. Abu Sulayman, and M. S. Islam, “Gain and isolation enhancement of a wideband MIMO antenna using metasurface for 5G sub-6 GHz communication systems,” </w:t>
      </w:r>
      <w:r>
        <w:rPr>
          <w:rFonts w:ascii="Times New Roman" w:hAnsi="Times New Roman" w:cs="Times New Roman"/>
          <w:i/>
          <w:sz w:val="24"/>
          <w:szCs w:val="24"/>
        </w:rPr>
        <w:t>Sci. Rep.</w:t>
      </w:r>
      <w:r>
        <w:rPr>
          <w:rFonts w:ascii="Times New Roman" w:hAnsi="Times New Roman" w:cs="Times New Roman"/>
          <w:sz w:val="24"/>
          <w:szCs w:val="24"/>
        </w:rPr>
        <w:t>, vol. 12, Art. no. 9433, 2022, doi: 10.1038/s41598-022-13522-5.</w:t>
      </w:r>
    </w:p>
    <w:p>
      <w:pPr>
        <w:tabs>
          <w:tab w:pos="648" w:val="left"/>
        </w:tabs>
        <w:spacing w:after="80" w:line="240" w:lineRule="auto"/>
        <w:ind w:left="648" w:hanging="648"/>
        <w:jc w:val="both"/>
      </w:pPr>
      <w:r>
        <w:rPr>
          <w:rFonts w:ascii="Times New Roman" w:hAnsi="Times New Roman" w:cs="Times New Roman"/>
          <w:sz w:val="24"/>
          <w:szCs w:val="24"/>
        </w:rPr>
        <w:t>[19]</w:t>
        <w:tab/>
        <w:t xml:space="preserve">A. A. Althuwayb, M. Alibakhshikenari, B. S. Virdee, N. Rashid, K. Kaaniche, A. Ben Atitallah, A. Armghan, O. I. Elhamrawy, C. H. See, and F. Falcone, “Metasurface-inspired flexible wearable MIMO antenna array for wireless body area network applications and biomedical telemetry devices,” </w:t>
      </w:r>
      <w:r>
        <w:rPr>
          <w:rFonts w:ascii="Times New Roman" w:hAnsi="Times New Roman" w:cs="Times New Roman"/>
          <w:i/>
          <w:sz w:val="24"/>
          <w:szCs w:val="24"/>
        </w:rPr>
        <w:t>IEEE Access</w:t>
      </w:r>
      <w:r>
        <w:rPr>
          <w:rFonts w:ascii="Times New Roman" w:hAnsi="Times New Roman" w:cs="Times New Roman"/>
          <w:sz w:val="24"/>
          <w:szCs w:val="24"/>
        </w:rPr>
        <w:t>, vol. 11, pp. 1039–1056, 2023, doi: 10.1109/ACCESS.2022.3233388.</w:t>
      </w:r>
    </w:p>
    <w:p>
      <w:pPr>
        <w:tabs>
          <w:tab w:pos="648" w:val="left"/>
        </w:tabs>
        <w:spacing w:after="80" w:line="240" w:lineRule="auto"/>
        <w:ind w:left="648" w:hanging="648"/>
        <w:jc w:val="both"/>
      </w:pPr>
      <w:r>
        <w:rPr>
          <w:rFonts w:ascii="Times New Roman" w:hAnsi="Times New Roman" w:cs="Times New Roman"/>
          <w:sz w:val="24"/>
          <w:szCs w:val="24"/>
        </w:rPr>
        <w:t>[20]</w:t>
        <w:tab/>
        <w:t xml:space="preserve">R. Wu, J. Dong, and M. Wang, “Wearable polarization conversion metasurface MIMO antenna for biomedical applications in 5 GHz WBAN,” </w:t>
      </w:r>
      <w:r>
        <w:rPr>
          <w:rFonts w:ascii="Times New Roman" w:hAnsi="Times New Roman" w:cs="Times New Roman"/>
          <w:i/>
          <w:sz w:val="24"/>
          <w:szCs w:val="24"/>
        </w:rPr>
        <w:t>Biosensors</w:t>
      </w:r>
      <w:r>
        <w:rPr>
          <w:rFonts w:ascii="Times New Roman" w:hAnsi="Times New Roman" w:cs="Times New Roman"/>
          <w:sz w:val="24"/>
          <w:szCs w:val="24"/>
        </w:rPr>
        <w:t>, vol. 13, no. 1, Art. no. 73, 2023, doi: 10.3390/bios13010073.</w:t>
      </w:r>
    </w:p>
    <w:sectPr w:rsidR="00AD6F9A" w:rsidRPr="000E5F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5FC4"/>
    <w:rsid w:val="0015074B"/>
    <w:rsid w:val="001F4042"/>
    <w:rsid w:val="0029639D"/>
    <w:rsid w:val="00326F90"/>
    <w:rsid w:val="00AA1D8D"/>
    <w:rsid w:val="00AD6F9A"/>
    <w:rsid w:val="00AF57E0"/>
    <w:rsid w:val="00B362F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13FEA49-9662-4C7E-B546-7927259A4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75A02D-ACB0-43B1-8B65-FD76B5ECC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6</Pages>
  <Words>96</Words>
  <Characters>634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Wideband MIMO Antenna with Metasurface: Literature Review</dc:title>
  <dc:subject/>
  <dc:creator>Chanswarang Boro, Nishit Baishya, Anushka Dam, Sanjana</dc:creator>
  <cp:keywords/>
  <dc:description>generated by python-docx</dc:description>
  <cp:lastModifiedBy>Chanswarang Boro, Nishit Baishya, Anushka Dam, Sanjana</cp:lastModifiedBy>
  <cp:revision>5</cp:revision>
  <dcterms:created xsi:type="dcterms:W3CDTF">2013-12-23T23:15:00Z</dcterms:created>
  <dcterms:modified xsi:type="dcterms:W3CDTF">2025-09-10T10:21:00Z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53a4b2c0-cd19-4d76-8729-fe7d88b9c591</vt:lpwstr>
  </property>
</Properties>
</file>