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6F9A" w:rsidRPr="00AF57E0" w:rsidRDefault="00B362F6" w:rsidP="000E5FC4">
      <w:pPr>
        <w:pStyle w:val="Title"/>
        <w:spacing w:before="0" w:after="720"/>
        <w:jc w:val="center"/>
        <w:rPr>
          <w:rFonts w:ascii="Times New Roman" w:hAnsi="Times New Roman" w:cs="Times New Roman"/>
          <w:color w:val="auto"/>
          <w:sz w:val="28"/>
          <w:szCs w:val="28"/>
        </w:rPr>
      </w:pPr>
      <w:r w:rsidRPr="00AF57E0">
        <w:rPr>
          <w:rFonts w:ascii="Times New Roman" w:hAnsi="Times New Roman" w:cs="Times New Roman"/>
          <w:color w:val="auto"/>
          <w:sz w:val="28"/>
          <w:szCs w:val="28"/>
        </w:rPr>
        <w:t>B. Tech. PROJECT REPORT (Mid-Semester Evaluation)</w:t>
      </w:r>
    </w:p>
    <w:p w:rsidR="000E5FC4" w:rsidRPr="00AF57E0" w:rsidRDefault="000E5FC4" w:rsidP="000E5FC4">
      <w:pPr>
        <w:spacing w:after="120" w:line="240" w:lineRule="auto" w:before="480"/>
        <w:jc w:val="center"/>
        <w:rPr>
          <w:rFonts w:ascii="Times New Roman" w:eastAsia="Times New Roman" w:hAnsi="Times New Roman"/>
          <w:b/>
          <w:sz w:val="28"/>
          <w:szCs w:val="28"/>
        </w:rPr>
      </w:pPr>
      <w:r w:rsidRPr="00AF57E0">
        <w:rPr>
          <w:rFonts w:ascii="Times New Roman" w:eastAsia="Times New Roman" w:hAnsi="Times New Roman" w:cs="Times New Roman"/>
          <w:b/>
          <w:sz w:val="30"/>
          <w:szCs w:val="30"/>
          <w:szCs w:val="28"/>
        </w:rPr>
        <w:t>WIDEBAND MIMO ANTENNA WITH METASURFACE</w:t>
      </w:r>
    </w:p>
    <w:p w:rsidR="000E5FC4" w:rsidRPr="00AF57E0" w:rsidRDefault="000E5FC4" w:rsidP="000E5FC4">
      <w:pPr>
        <w:spacing w:after="320" w:line="240" w:lineRule="auto"/>
        <w:jc w:val="center"/>
        <w:rPr>
          <w:rFonts w:ascii="Times New Roman" w:eastAsia="Times New Roman" w:hAnsi="Times New Roman"/>
          <w:sz w:val="28"/>
          <w:szCs w:val="28"/>
        </w:rPr>
      </w:pPr>
      <w:r>
        <w:rPr>
          <w:rFonts w:ascii="Times New Roman" w:eastAsia="Times New Roman" w:hAnsi="Times New Roman" w:cs="Times New Roman"/>
          <w:i/>
          <w:sz w:val="22"/>
          <w:szCs w:val="22"/>
          <w:szCs w:val="28"/>
        </w:rPr>
        <w:t>Phase I: CPW-fed Wideband Antenna with a Split-Ring Metasurface Reflector</w:t>
      </w:r>
    </w:p>
    <w:p w:rsidR="000E5FC4" w:rsidRPr="00AF57E0" w:rsidRDefault="000E5FC4" w:rsidP="000E5FC4">
      <w:pPr>
        <w:spacing w:after="720" w:line="240" w:lineRule="auto" w:before="480"/>
        <w:jc w:val="center"/>
        <w:rPr>
          <w:rFonts w:ascii="Times New Roman" w:eastAsia="Times New Roman" w:hAnsi="Times New Roman"/>
          <w:sz w:val="28"/>
          <w:szCs w:val="28"/>
        </w:rPr>
      </w:pPr>
      <w:r>
        <w:drawing>
          <wp:inline xmlns:a="http://schemas.openxmlformats.org/drawingml/2006/main" xmlns:pic="http://schemas.openxmlformats.org/drawingml/2006/picture">
            <wp:extent cx="1600200" cy="1595138"/>
            <wp:docPr id="1" name="Picture 1"/>
            <wp:cNvGraphicFramePr>
              <a:graphicFrameLocks noChangeAspect="1"/>
            </wp:cNvGraphicFramePr>
            <a:graphic>
              <a:graphicData uri="http://schemas.openxmlformats.org/drawingml/2006/picture">
                <pic:pic>
                  <pic:nvPicPr>
                    <pic:cNvPr id="0" name="nits_logo.png"/>
                    <pic:cNvPicPr/>
                  </pic:nvPicPr>
                  <pic:blipFill>
                    <a:blip r:embed="rId8"/>
                    <a:stretch>
                      <a:fillRect/>
                    </a:stretch>
                  </pic:blipFill>
                  <pic:spPr>
                    <a:xfrm>
                      <a:off x="0" y="0"/>
                      <a:ext cx="1600200" cy="1595138"/>
                    </a:xfrm>
                    <a:prstGeom prst="rect"/>
                  </pic:spPr>
                </pic:pic>
              </a:graphicData>
            </a:graphic>
          </wp:inline>
        </w:drawing>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Submitted by:</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CHANSWARANG BORO (2314143)</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8"/>
        </w:rPr>
        <w:t>NISHIT BAISHYA (2314088)</w:t>
      </w:r>
    </w:p>
    <w:p w:rsidR="000E5FC4" w:rsidRPr="00AF57E0" w:rsidRDefault="000E5FC4" w:rsidP="000E5FC4">
      <w:pPr>
        <w:spacing w:after="6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8"/>
        </w:rPr>
        <w:t>ANUSHKA DAM (2314115)</w:t>
      </w:r>
    </w:p>
    <w:p w:rsidR="000E5FC4" w:rsidRPr="00AF57E0" w:rsidRDefault="000E5FC4" w:rsidP="000E5FC4">
      <w:pPr>
        <w:spacing w:after="600" w:line="240" w:lineRule="auto"/>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1"/>
          <w:szCs w:val="21"/>
          <w:szCs w:val="21"/>
          <w:szCs w:val="28"/>
        </w:rPr>
        <w:t>SANJANA (2314060)</w:t>
      </w:r>
    </w:p>
    <w:p w:rsidR="000E5FC4" w:rsidRPr="00AF57E0" w:rsidRDefault="000E5FC4" w:rsidP="000E5FC4">
      <w:pPr>
        <w:spacing w:after="12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8"/>
        </w:rPr>
        <w:t>Under the Guidance of</w:t>
      </w:r>
    </w:p>
    <w:p w:rsidR="000E5FC4" w:rsidRPr="00AF57E0" w:rsidRDefault="000E5FC4" w:rsidP="000E5FC4">
      <w:pPr>
        <w:spacing w:after="6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8"/>
        </w:rPr>
        <w:t>DR. UJJAL CHAKRABORTY</w:t>
      </w:r>
    </w:p>
    <w:p w:rsidR="000E5FC4" w:rsidRPr="00AF57E0" w:rsidRDefault="000E5FC4" w:rsidP="000E5FC4">
      <w:pPr>
        <w:spacing w:after="16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i/>
          <w:sz w:val="21"/>
          <w:szCs w:val="21"/>
          <w:szCs w:val="21"/>
          <w:szCs w:val="21"/>
          <w:szCs w:val="28"/>
        </w:rPr>
        <w:t>MR. SOVAN BHATTACHARYA (CO-GUIDE)</w:t>
      </w:r>
    </w:p>
    <w:p w:rsidR="000E5FC4" w:rsidRPr="00AF57E0" w:rsidRDefault="000E5FC4" w:rsidP="000E5FC4">
      <w:pPr>
        <w:spacing w:after="80" w:line="240"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DEPARTMENT OF ELECTRONICS AND COMMUNICATION ENGINEERING</w:t>
      </w:r>
    </w:p>
    <w:p w:rsidR="00AD6F9A" w:rsidRPr="00AF57E0" w:rsidRDefault="000E5FC4" w:rsidP="000E5FC4">
      <w:pPr>
        <w:spacing w:after="0" w:line="288" w:lineRule="auto" w:before="0"/>
        <w:jc w:val="center"/>
        <w:rPr>
          <w:rFonts w:ascii="Times New Roman" w:eastAsia="Times New Roman" w:hAnsi="Times New Roman"/>
          <w:b/>
          <w:sz w:val="28"/>
          <w:szCs w:val="28"/>
        </w:rPr>
      </w:pPr>
      <w:r w:rsidRPr="00AF57E0">
        <w:rPr>
          <w:rFonts w:ascii="Times New Roman" w:eastAsia="Times New Roman" w:hAnsi="Times New Roman" w:cs="Times New Roman"/>
          <w:b/>
          <w:sz w:val="21"/>
          <w:szCs w:val="21"/>
          <w:szCs w:val="28"/>
        </w:rPr>
        <w:t>NATIONAL INSTITUTE OF TECHNOLOGY SILCHAR, ASSAM (INDIA)-788010</w:t>
        <w:br/>
        <w:t>OCTOBER 2026</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Abstract</w:t>
      </w:r>
    </w:p>
    <w:p>
      <w:pPr>
        <w:spacing w:after="40" w:line="269" w:lineRule="auto"/>
        <w:jc w:val="both"/>
      </w:pPr>
      <w:r>
        <w:rPr>
          <w:rFonts w:ascii="Times New Roman" w:hAnsi="Times New Roman" w:cs="Times New Roman"/>
          <w:sz w:val="21"/>
          <w:szCs w:val="21"/>
        </w:rPr>
        <w:t>Fast wireless links need wideband antennas, and multiple-input multiple-output (MIMO) systems need several of them. A printed monopole gives a wide band but low gain, because it radiates to both sides of the board. A metal plate behind it raises the gain only when placed far away, which makes the antenna thick. This project places a thin metasurface close behind the antenna instead. This report covers Phase I. A coplanar waveguide (CPW) fed decagonal monopole was designed on a 50 × 50 × 1.6 mm FR-4 board in CST Studio Suite 2019. Moving the ground closer to the patch and using a 15 mm patch radius gave S</w:t>
      </w:r>
      <w:r>
        <w:rPr>
          <w:rFonts w:ascii="Times New Roman" w:hAnsi="Times New Roman" w:cs="Times New Roman"/>
          <w:sz w:val="21"/>
          <w:szCs w:val="21"/>
          <w:vertAlign w:val="subscript"/>
        </w:rPr>
        <w:t>11</w:t>
      </w:r>
      <w:r>
        <w:rPr>
          <w:rFonts w:ascii="Times New Roman" w:hAnsi="Times New Roman" w:cs="Times New Roman"/>
          <w:sz w:val="21"/>
          <w:szCs w:val="21"/>
        </w:rPr>
        <w:t xml:space="preserve"> below −10 dB from 2.16 to 15.73 GHz. A 6 × 5 split-ring metasurface was placed 2 mm behind the antenna. The match holds over most of the band, but three narrow mismatch gaps appear between 3.0 and 5.6 GHz. With the metasurface, the peak directivity rises from 3.7 to 8.8 dBi, and the directivity is higher over about 78 % of 2–6 GHz. Realized gain over the whole band, metasurface tuning and a MIMO version are the next steps.</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t>Introduction</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Background and Motivation</w:t>
      </w:r>
    </w:p>
    <w:p>
      <w:pPr>
        <w:spacing w:after="40" w:line="269" w:lineRule="auto"/>
        <w:jc w:val="both"/>
      </w:pPr>
      <w:r>
        <w:rPr>
          <w:rFonts w:ascii="Times New Roman" w:hAnsi="Times New Roman" w:cs="Times New Roman"/>
          <w:sz w:val="21"/>
          <w:szCs w:val="21"/>
        </w:rPr>
        <w:t>Modern wireless systems need antennas that work over a wide range of frequencies. MIMO systems use several antennas at each end of the link to carry more data without more transmit power [1], [2]. A compact wideband antenna that can later be repeated in a MIMO layout is therefore useful [3].</w:t>
      </w:r>
    </w:p>
    <w:p>
      <w:pPr>
        <w:spacing w:after="40" w:line="269" w:lineRule="auto"/>
        <w:jc w:val="both"/>
      </w:pPr>
      <w:r>
        <w:rPr>
          <w:rFonts w:ascii="Times New Roman" w:hAnsi="Times New Roman" w:cs="Times New Roman"/>
          <w:sz w:val="21"/>
          <w:szCs w:val="21"/>
        </w:rPr>
        <w:t>Printed monopole antennas are a common choice for wideband use. A flat disc or polygon patch has several close resonances that join into one wide band [4], [5]. A CPW feed puts the feed line and the ground on the same side of the board, so no vias are needed [6]. The weak point of such an antenna is its gain. It radiates almost equally to the front and to the back, so much of the power is lost behind it [7].</w:t>
      </w:r>
    </w:p>
    <w:p>
      <w:pPr>
        <w:spacing w:after="40" w:line="269" w:lineRule="auto"/>
        <w:jc w:val="both"/>
      </w:pPr>
      <w:r>
        <w:rPr>
          <w:rFonts w:ascii="Times New Roman" w:hAnsi="Times New Roman" w:cs="Times New Roman"/>
          <w:sz w:val="21"/>
          <w:szCs w:val="21"/>
        </w:rPr>
        <w:t>A metal plate behind the antenna can turn the backward wave forward. However, a plain metal plate helps only when it is far from the antenna, so the antenna becomes thick. A metasurface is a thin board covered with many small, repeated metal cells that shape the reflected wave [8]. Because of this, it can sit much closer to the antenna. The split ring is a widely used metasurface cell [9]. Fig. 1 shows the structure proposed in this project.</w:t>
      </w:r>
    </w:p>
    <w:tbl>
      <w:tblPr>
        <w:tblW w:type="dxa" w:w="6826"/>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493"/>
        <w:gridCol w:w="2333"/>
      </w:tblGrid>
      <w:tr>
        <w:tc>
          <w:tcPr>
            <w:tcW w:type="dxa" w:w="4493"/>
          </w:tcPr>
          <w:p>
            <w:pPr>
              <w:keepNext/>
              <w:spacing w:before="0" w:after="0"/>
              <w:jc w:val="center"/>
            </w:pPr>
            <w:r>
              <w:drawing>
                <wp:inline xmlns:a="http://schemas.openxmlformats.org/drawingml/2006/main" xmlns:pic="http://schemas.openxmlformats.org/drawingml/2006/picture">
                  <wp:extent cx="2743200" cy="1230897"/>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743200" cy="1230897"/>
                          </a:xfrm>
                          <a:prstGeom prst="rect"/>
                        </pic:spPr>
                      </pic:pic>
                    </a:graphicData>
                  </a:graphic>
                </wp:inline>
              </w:drawing>
            </w:r>
          </w:p>
        </w:tc>
        <w:tc>
          <w:tcPr>
            <w:tcW w:type="dxa" w:w="2333"/>
          </w:tcPr>
          <w:p>
            <w:pPr>
              <w:keepNext/>
              <w:spacing w:before="0" w:after="0"/>
              <w:jc w:val="center"/>
            </w:pPr>
            <w:r>
              <w:drawing>
                <wp:inline xmlns:a="http://schemas.openxmlformats.org/drawingml/2006/main" xmlns:pic="http://schemas.openxmlformats.org/drawingml/2006/picture">
                  <wp:extent cx="1371600" cy="1243498"/>
                  <wp:docPr id="3" name="Picture 3"/>
                  <wp:cNvGraphicFramePr>
                    <a:graphicFrameLocks noChangeAspect="1"/>
                  </wp:cNvGraphicFramePr>
                  <a:graphic>
                    <a:graphicData uri="http://schemas.openxmlformats.org/drawingml/2006/picture">
                      <pic:pic>
                        <pic:nvPicPr>
                          <pic:cNvPr id="0" name="cst_metasurface_top.png"/>
                          <pic:cNvPicPr/>
                        </pic:nvPicPr>
                        <pic:blipFill>
                          <a:blip r:embed="rId10"/>
                          <a:stretch>
                            <a:fillRect/>
                          </a:stretch>
                        </pic:blipFill>
                        <pic:spPr>
                          <a:xfrm>
                            <a:off x="0" y="0"/>
                            <a:ext cx="1371600" cy="1243498"/>
                          </a:xfrm>
                          <a:prstGeom prst="rect"/>
                        </pic:spPr>
                      </pic:pic>
                    </a:graphicData>
                  </a:graphic>
                </wp:inline>
              </w:drawing>
            </w:r>
          </w:p>
        </w:tc>
      </w:tr>
      <w:tr>
        <w:tc>
          <w:tcPr>
            <w:tcW w:type="dxa" w:w="4493"/>
          </w:tcPr>
          <w:p>
            <w:pPr>
              <w:keepNext/>
              <w:spacing w:before="0" w:after="0"/>
              <w:jc w:val="center"/>
            </w:pPr>
            <w:r>
              <w:rPr>
                <w:rFonts w:ascii="Times New Roman" w:hAnsi="Times New Roman" w:cs="Times New Roman"/>
                <w:sz w:val="17"/>
                <w:szCs w:val="17"/>
              </w:rPr>
              <w:t>(a)</w:t>
            </w:r>
          </w:p>
        </w:tc>
        <w:tc>
          <w:tcPr>
            <w:tcW w:type="dxa" w:w="2333"/>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1</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Proposed structure: (a) side view of the antenna, the 2 mm air gap and the metasurface (schematic, not to scale), and (b) CST model of the 6 × 5 double split-ring metasurface, top view.</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Problem Statement and Objectives</w:t>
      </w:r>
    </w:p>
    <w:p>
      <w:pPr>
        <w:spacing w:after="40" w:line="269" w:lineRule="auto"/>
        <w:jc w:val="both"/>
      </w:pPr>
      <w:r>
        <w:rPr>
          <w:rFonts w:ascii="Times New Roman" w:hAnsi="Times New Roman" w:cs="Times New Roman"/>
          <w:sz w:val="21"/>
          <w:szCs w:val="21"/>
        </w:rPr>
        <w:t>A printed monopole gives a wide band but low gain, and a metal reflector would make it thick. This project aims to build a thin wideband antenna with higher gain, and later a MIMO version of it. The objectives are:</w:t>
      </w:r>
    </w:p>
    <w:p>
      <w:pPr>
        <w:pStyle w:val="ListBullet"/>
        <w:spacing w:after="30" w:line="269" w:lineRule="auto"/>
        <w:jc w:val="both"/>
      </w:pPr>
      <w:r>
        <w:rPr>
          <w:rFonts w:ascii="Times New Roman" w:hAnsi="Times New Roman" w:cs="Times New Roman"/>
          <w:sz w:val="21"/>
          <w:szCs w:val="21"/>
        </w:rPr>
        <w:t>To design a CPW-fed wideband monopole antenna that covers about 2.2–15 GHz.</w:t>
      </w:r>
    </w:p>
    <w:p>
      <w:pPr>
        <w:pStyle w:val="ListBullet"/>
        <w:spacing w:after="30" w:line="269" w:lineRule="auto"/>
        <w:jc w:val="both"/>
      </w:pPr>
      <w:r>
        <w:rPr>
          <w:rFonts w:ascii="Times New Roman" w:hAnsi="Times New Roman" w:cs="Times New Roman"/>
          <w:sz w:val="21"/>
          <w:szCs w:val="21"/>
        </w:rPr>
        <w:t>To optimise the ground position and the patch size for the best impedance match.</w:t>
      </w:r>
    </w:p>
    <w:p>
      <w:pPr>
        <w:pStyle w:val="ListBullet"/>
        <w:spacing w:after="30" w:line="269" w:lineRule="auto"/>
        <w:jc w:val="both"/>
      </w:pPr>
      <w:r>
        <w:rPr>
          <w:rFonts w:ascii="Times New Roman" w:hAnsi="Times New Roman" w:cs="Times New Roman"/>
          <w:sz w:val="21"/>
          <w:szCs w:val="21"/>
        </w:rPr>
        <w:t>To add a split-ring metasurface 2 mm behind the antenna to raise its gain.</w:t>
      </w:r>
    </w:p>
    <w:p>
      <w:pPr>
        <w:pStyle w:val="ListBullet"/>
        <w:spacing w:after="30" w:line="269" w:lineRule="auto"/>
        <w:jc w:val="both"/>
      </w:pPr>
      <w:r>
        <w:rPr>
          <w:rFonts w:ascii="Times New Roman" w:hAnsi="Times New Roman" w:cs="Times New Roman"/>
          <w:sz w:val="21"/>
          <w:szCs w:val="21"/>
        </w:rPr>
        <w:t>To extend the design to a MIMO antenna, then fabricate and measure it (Phase II).</w:t>
      </w:r>
    </w:p>
    <w:p w:rsidR="00AD6F9A" w:rsidRPr="000E5FC4" w:rsidRDefault="001F4042">
      <w:pPr>
        <w:pStyle w:val="Heading1"/>
        <w:pageBreakBefore/>
        <w:spacing w:before="0"/>
        <w:rPr>
          <w:rFonts w:ascii="Times New Roman" w:hAnsi="Times New Roman" w:cs="Times New Roman"/>
          <w:sz w:val="24"/>
          <w:szCs w:val="24"/>
        </w:rPr>
      </w:pPr>
      <w:r w:rsidRPr="000E5FC4">
        <w:rPr>
          <w:rFonts w:ascii="Times New Roman" w:hAnsi="Times New Roman" w:cs="Times New Roman"/>
          <w:sz w:val="24"/>
          <w:szCs w:val="24"/>
        </w:rPr>
        <w:lastRenderedPageBreak/>
        <w:t>Literature Review</w:t>
      </w:r>
    </w:p>
    <w:p>
      <w:pPr>
        <w:spacing w:after="40" w:line="269" w:lineRule="auto"/>
        <w:jc w:val="both"/>
      </w:pPr>
      <w:r>
        <w:rPr>
          <w:rFonts w:ascii="Times New Roman" w:hAnsi="Times New Roman" w:cs="Times New Roman"/>
          <w:sz w:val="21"/>
          <w:szCs w:val="21"/>
        </w:rPr>
        <w:t>Several groups have placed a reflector behind a wideband printed antenna to raise its gain. Table 1 lists the works closest to this project. Sen et al. [10] placed a metasurface of double split rings behind a circular monopole. The split angle changes from column to column, and the gain rose by about 5.5 dB. Al-Gburi et al. [11] placed a CPW-fed ring monopole over a 19 × 19 loop frequency selective surface (FSS) with a ground plane. The peak gain rose from 6.7 to 11.5 dBi, and the whole structure is 10 mm thick. Hussain et al. [12] put a 5 × 5 FSS 9 mm behind a CPW-fed hexagonal patch, and the peak gain rose from 6.5 to 10.5 dBi. Hammache et al. [13] used a 7 × 7 FSS 20 mm behind a CPW-fed hexagonal monopole, and the gain rose from 2.2 to 8.4 dBi.</w:t>
      </w:r>
    </w:p>
    <w:p>
      <w:pPr>
        <w:spacing w:after="40" w:line="269" w:lineRule="auto"/>
        <w:jc w:val="both"/>
      </w:pPr>
      <w:r>
        <w:rPr>
          <w:rFonts w:ascii="Times New Roman" w:hAnsi="Times New Roman" w:cs="Times New Roman"/>
          <w:sz w:val="21"/>
          <w:szCs w:val="21"/>
        </w:rPr>
        <w:t>Metasurfaces are also used in MIMO antennas. Hasan et al. [14] placed a copper-backed 10 × 10 split-ring metasurface 12 mm behind a 4-port antenna for 3.08–7.75 GHz. The gain rose from 5.4 to 8.3 dBi, and the isolation between ports stayed above 15.5 dB. Wu et al. [15] used a polarization-conversion metasurface in a 2-port antenna for 4.76–6.77 GHz, with a gain of 7.95 dBic and isolation above 19.8 dB.</w:t>
      </w:r>
    </w:p>
    <w:p>
      <w:pPr>
        <w:spacing w:after="40" w:line="269" w:lineRule="auto"/>
        <w:jc w:val="both"/>
      </w:pPr>
      <w:r>
        <w:rPr>
          <w:rFonts w:ascii="Times New Roman" w:hAnsi="Times New Roman" w:cs="Times New Roman"/>
          <w:sz w:val="21"/>
          <w:szCs w:val="21"/>
        </w:rPr>
        <w:t>These works show that a reflector or metasurface can raise the gain of a printed antenna by several dB. In most of them, however, the reflector sits far behind the antenna. From them, this project takes three ideas: a CPW-fed monopole as the radiator [11]–[13], split-ring cells for the metasurface [10], [14], and a copper-backed metasurface behind a MIMO antenna for Phase II [14].</w:t>
      </w:r>
    </w:p>
    <w:p>
      <w:pPr>
        <w:keepNext/>
        <w:spacing w:before="20" w:after="40"/>
        <w:jc w:val="center"/>
      </w:pPr>
      <w:r>
        <w:rPr>
          <w:rFonts w:ascii="Times New Roman" w:hAnsi="Times New Roman" w:cs="Times New Roman"/>
          <w:b/>
          <w:sz w:val="18"/>
          <w:szCs w:val="18"/>
        </w:rPr>
        <w:t xml:space="preserve">Table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Table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1</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Printed antennas with a reflector or metasurface behind them, compared with this work. Gain is the peak gain without → with the reflector.</w:t>
      </w:r>
    </w:p>
    <w:tbl>
      <w:tblPr>
        <w:tblStyle w:val="TableGrid"/>
        <w:tblW w:type="auto" w:w="0"/>
        <w:jc w:val="center"/>
        <w:tblLayout w:type="fixed"/>
        <w:tblLook w:firstColumn="1" w:firstRow="1" w:lastColumn="0" w:lastRow="0" w:noHBand="0" w:noVBand="1" w:val="04A0"/>
      </w:tblPr>
      <w:tblGrid>
        <w:gridCol w:w="1800"/>
        <w:gridCol w:w="1728"/>
        <w:gridCol w:w="2232"/>
        <w:gridCol w:w="1152"/>
        <w:gridCol w:w="1728"/>
      </w:tblGrid>
      <w:tr>
        <w:trPr>
          <w:tblHeader/>
        </w:trPr>
        <w:tc>
          <w:tcPr>
            <w:tcW w:type="dxa" w:w="1800"/>
            <w:shd w:val="clear" w:color="auto" w:fill="D9D9D9"/>
            <w:vAlign w:val="center"/>
          </w:tcPr>
          <w:p>
            <w:pPr>
              <w:spacing w:after="0" w:line="240" w:lineRule="auto"/>
              <w:jc w:val="left"/>
            </w:pPr>
            <w:r>
              <w:rPr>
                <w:rFonts w:ascii="Times New Roman" w:hAnsi="Times New Roman" w:cs="Times New Roman"/>
                <w:b/>
                <w:sz w:val="18"/>
                <w:szCs w:val="18"/>
              </w:rPr>
              <w:t>Reference</w:t>
            </w:r>
          </w:p>
        </w:tc>
        <w:tc>
          <w:tcPr>
            <w:tcW w:type="dxa" w:w="1728"/>
            <w:shd w:val="clear" w:color="auto" w:fill="D9D9D9"/>
            <w:vAlign w:val="center"/>
          </w:tcPr>
          <w:p>
            <w:pPr>
              <w:spacing w:after="0" w:line="240" w:lineRule="auto"/>
              <w:jc w:val="center"/>
            </w:pPr>
            <w:r>
              <w:rPr>
                <w:rFonts w:ascii="Times New Roman" w:hAnsi="Times New Roman" w:cs="Times New Roman"/>
                <w:b/>
                <w:sz w:val="18"/>
                <w:szCs w:val="18"/>
              </w:rPr>
              <w:t>Antenna</w:t>
            </w:r>
          </w:p>
        </w:tc>
        <w:tc>
          <w:tcPr>
            <w:tcW w:type="dxa" w:w="2232"/>
            <w:shd w:val="clear" w:color="auto" w:fill="D9D9D9"/>
            <w:vAlign w:val="center"/>
          </w:tcPr>
          <w:p>
            <w:pPr>
              <w:spacing w:after="0" w:line="240" w:lineRule="auto"/>
              <w:jc w:val="center"/>
            </w:pPr>
            <w:r>
              <w:rPr>
                <w:rFonts w:ascii="Times New Roman" w:hAnsi="Times New Roman" w:cs="Times New Roman"/>
                <w:b/>
                <w:sz w:val="18"/>
                <w:szCs w:val="18"/>
              </w:rPr>
              <w:t>Reflector</w:t>
            </w:r>
          </w:p>
        </w:tc>
        <w:tc>
          <w:tcPr>
            <w:tcW w:type="dxa" w:w="1152"/>
            <w:shd w:val="clear" w:color="auto" w:fill="D9D9D9"/>
            <w:vAlign w:val="center"/>
          </w:tcPr>
          <w:p>
            <w:pPr>
              <w:spacing w:after="0" w:line="240" w:lineRule="auto"/>
              <w:jc w:val="center"/>
            </w:pPr>
            <w:r>
              <w:rPr>
                <w:rFonts w:ascii="Times New Roman" w:hAnsi="Times New Roman" w:cs="Times New Roman"/>
                <w:b/>
                <w:sz w:val="18"/>
                <w:szCs w:val="18"/>
              </w:rPr>
              <w:t>Gap</w:t>
            </w:r>
          </w:p>
        </w:tc>
        <w:tc>
          <w:tcPr>
            <w:tcW w:type="dxa" w:w="1728"/>
            <w:shd w:val="clear" w:color="auto" w:fill="D9D9D9"/>
            <w:vAlign w:val="center"/>
          </w:tcPr>
          <w:p>
            <w:pPr>
              <w:spacing w:after="0" w:line="240" w:lineRule="auto"/>
              <w:jc w:val="center"/>
            </w:pPr>
            <w:r>
              <w:rPr>
                <w:rFonts w:ascii="Times New Roman" w:hAnsi="Times New Roman" w:cs="Times New Roman"/>
                <w:b/>
                <w:sz w:val="18"/>
                <w:szCs w:val="18"/>
              </w:rPr>
              <w:t>Peak gain</w:t>
            </w:r>
          </w:p>
        </w:tc>
      </w:tr>
      <w:tr>
        <w:tc>
          <w:tcPr>
            <w:tcW w:type="dxa" w:w="1800"/>
            <w:vAlign w:val="center"/>
          </w:tcPr>
          <w:p>
            <w:pPr>
              <w:spacing w:after="0" w:line="240" w:lineRule="auto"/>
              <w:jc w:val="left"/>
            </w:pPr>
            <w:r>
              <w:rPr>
                <w:rFonts w:ascii="Times New Roman" w:hAnsi="Times New Roman" w:cs="Times New Roman"/>
                <w:sz w:val="18"/>
                <w:szCs w:val="18"/>
              </w:rPr>
              <w:t>Sen et al. (2017) [10]</w:t>
            </w:r>
          </w:p>
        </w:tc>
        <w:tc>
          <w:tcPr>
            <w:tcW w:type="dxa" w:w="1728"/>
            <w:vAlign w:val="center"/>
          </w:tcPr>
          <w:p>
            <w:pPr>
              <w:spacing w:after="0" w:line="240" w:lineRule="auto"/>
              <w:jc w:val="center"/>
            </w:pPr>
            <w:r>
              <w:rPr>
                <w:rFonts w:ascii="Times New Roman" w:hAnsi="Times New Roman" w:cs="Times New Roman"/>
                <w:sz w:val="18"/>
                <w:szCs w:val="18"/>
              </w:rPr>
              <w:t>Circular monopole</w:t>
            </w:r>
          </w:p>
        </w:tc>
        <w:tc>
          <w:tcPr>
            <w:tcW w:type="dxa" w:w="2232"/>
            <w:vAlign w:val="center"/>
          </w:tcPr>
          <w:p>
            <w:pPr>
              <w:spacing w:after="0" w:line="240" w:lineRule="auto"/>
              <w:jc w:val="center"/>
            </w:pPr>
            <w:r>
              <w:rPr>
                <w:rFonts w:ascii="Times New Roman" w:hAnsi="Times New Roman" w:cs="Times New Roman"/>
                <w:sz w:val="18"/>
                <w:szCs w:val="18"/>
              </w:rPr>
              <w:t>Double split-ring metasurface (graded splits)</w:t>
            </w:r>
          </w:p>
        </w:tc>
        <w:tc>
          <w:tcPr>
            <w:tcW w:type="dxa" w:w="1152"/>
            <w:vAlign w:val="center"/>
          </w:tcPr>
          <w:p>
            <w:pPr>
              <w:spacing w:after="0" w:line="240" w:lineRule="auto"/>
              <w:jc w:val="center"/>
            </w:pPr>
            <w:r>
              <w:rPr>
                <w:rFonts w:ascii="Times New Roman" w:hAnsi="Times New Roman" w:cs="Times New Roman"/>
                <w:sz w:val="18"/>
                <w:szCs w:val="18"/>
              </w:rPr>
              <w:t>Not given in abstract</w:t>
            </w:r>
          </w:p>
        </w:tc>
        <w:tc>
          <w:tcPr>
            <w:tcW w:type="dxa" w:w="1728"/>
            <w:vAlign w:val="center"/>
          </w:tcPr>
          <w:p>
            <w:pPr>
              <w:spacing w:after="0" w:line="240" w:lineRule="auto"/>
              <w:jc w:val="center"/>
            </w:pPr>
            <w:r>
              <w:rPr>
                <w:rFonts w:ascii="Times New Roman" w:hAnsi="Times New Roman" w:cs="Times New Roman"/>
                <w:sz w:val="18"/>
                <w:szCs w:val="18"/>
              </w:rPr>
              <w:t>About +5.5 dB</w:t>
            </w:r>
          </w:p>
        </w:tc>
      </w:tr>
      <w:tr>
        <w:tc>
          <w:tcPr>
            <w:tcW w:type="dxa" w:w="1800"/>
            <w:vAlign w:val="center"/>
          </w:tcPr>
          <w:p>
            <w:pPr>
              <w:spacing w:after="0" w:line="240" w:lineRule="auto"/>
              <w:jc w:val="left"/>
            </w:pPr>
            <w:r>
              <w:rPr>
                <w:rFonts w:ascii="Times New Roman" w:hAnsi="Times New Roman" w:cs="Times New Roman"/>
                <w:sz w:val="18"/>
                <w:szCs w:val="18"/>
              </w:rPr>
              <w:t>Al-Gburi et al. (2022) [11]</w:t>
            </w:r>
          </w:p>
        </w:tc>
        <w:tc>
          <w:tcPr>
            <w:tcW w:type="dxa" w:w="1728"/>
            <w:vAlign w:val="center"/>
          </w:tcPr>
          <w:p>
            <w:pPr>
              <w:spacing w:after="0" w:line="240" w:lineRule="auto"/>
              <w:jc w:val="center"/>
            </w:pPr>
            <w:r>
              <w:rPr>
                <w:rFonts w:ascii="Times New Roman" w:hAnsi="Times New Roman" w:cs="Times New Roman"/>
                <w:sz w:val="18"/>
                <w:szCs w:val="18"/>
              </w:rPr>
              <w:t>CPW-fed ring monopole</w:t>
            </w:r>
          </w:p>
        </w:tc>
        <w:tc>
          <w:tcPr>
            <w:tcW w:type="dxa" w:w="2232"/>
            <w:vAlign w:val="center"/>
          </w:tcPr>
          <w:p>
            <w:pPr>
              <w:spacing w:after="0" w:line="240" w:lineRule="auto"/>
              <w:jc w:val="center"/>
            </w:pPr>
            <w:r>
              <w:rPr>
                <w:rFonts w:ascii="Times New Roman" w:hAnsi="Times New Roman" w:cs="Times New Roman"/>
                <w:sz w:val="18"/>
                <w:szCs w:val="18"/>
              </w:rPr>
              <w:t>19 × 19 loop FSS with ground plane</w:t>
            </w:r>
          </w:p>
        </w:tc>
        <w:tc>
          <w:tcPr>
            <w:tcW w:type="dxa" w:w="1152"/>
            <w:vAlign w:val="center"/>
          </w:tcPr>
          <w:p>
            <w:pPr>
              <w:spacing w:after="0" w:line="240" w:lineRule="auto"/>
              <w:jc w:val="center"/>
            </w:pPr>
            <w:r>
              <w:rPr>
                <w:rFonts w:ascii="Times New Roman" w:hAnsi="Times New Roman" w:cs="Times New Roman"/>
                <w:sz w:val="18"/>
                <w:szCs w:val="18"/>
              </w:rPr>
              <w:t>10 mm (total height)</w:t>
            </w:r>
          </w:p>
        </w:tc>
        <w:tc>
          <w:tcPr>
            <w:tcW w:type="dxa" w:w="1728"/>
            <w:vAlign w:val="center"/>
          </w:tcPr>
          <w:p>
            <w:pPr>
              <w:spacing w:after="0" w:line="240" w:lineRule="auto"/>
              <w:jc w:val="center"/>
            </w:pPr>
            <w:r>
              <w:rPr>
                <w:rFonts w:ascii="Times New Roman" w:hAnsi="Times New Roman" w:cs="Times New Roman"/>
                <w:sz w:val="18"/>
                <w:szCs w:val="18"/>
              </w:rPr>
              <w:t>6.7 → 11.5 dBi</w:t>
            </w:r>
          </w:p>
        </w:tc>
      </w:tr>
      <w:tr>
        <w:tc>
          <w:tcPr>
            <w:tcW w:type="dxa" w:w="1800"/>
            <w:vAlign w:val="center"/>
          </w:tcPr>
          <w:p>
            <w:pPr>
              <w:spacing w:after="0" w:line="240" w:lineRule="auto"/>
              <w:jc w:val="left"/>
            </w:pPr>
            <w:r>
              <w:rPr>
                <w:rFonts w:ascii="Times New Roman" w:hAnsi="Times New Roman" w:cs="Times New Roman"/>
                <w:sz w:val="18"/>
                <w:szCs w:val="18"/>
              </w:rPr>
              <w:t>Hussain et al. (2023) [12]</w:t>
            </w:r>
          </w:p>
        </w:tc>
        <w:tc>
          <w:tcPr>
            <w:tcW w:type="dxa" w:w="1728"/>
            <w:vAlign w:val="center"/>
          </w:tcPr>
          <w:p>
            <w:pPr>
              <w:spacing w:after="0" w:line="240" w:lineRule="auto"/>
              <w:jc w:val="center"/>
            </w:pPr>
            <w:r>
              <w:rPr>
                <w:rFonts w:ascii="Times New Roman" w:hAnsi="Times New Roman" w:cs="Times New Roman"/>
                <w:sz w:val="18"/>
                <w:szCs w:val="18"/>
              </w:rPr>
              <w:t>CPW-fed hexagonal patch</w:t>
            </w:r>
          </w:p>
        </w:tc>
        <w:tc>
          <w:tcPr>
            <w:tcW w:type="dxa" w:w="2232"/>
            <w:vAlign w:val="center"/>
          </w:tcPr>
          <w:p>
            <w:pPr>
              <w:spacing w:after="0" w:line="240" w:lineRule="auto"/>
              <w:jc w:val="center"/>
            </w:pPr>
            <w:r>
              <w:rPr>
                <w:rFonts w:ascii="Times New Roman" w:hAnsi="Times New Roman" w:cs="Times New Roman"/>
                <w:sz w:val="18"/>
                <w:szCs w:val="18"/>
              </w:rPr>
              <w:t>5 × 5 ring-frame FSS</w:t>
            </w:r>
          </w:p>
        </w:tc>
        <w:tc>
          <w:tcPr>
            <w:tcW w:type="dxa" w:w="1152"/>
            <w:vAlign w:val="center"/>
          </w:tcPr>
          <w:p>
            <w:pPr>
              <w:spacing w:after="0" w:line="240" w:lineRule="auto"/>
              <w:jc w:val="center"/>
            </w:pPr>
            <w:r>
              <w:rPr>
                <w:rFonts w:ascii="Times New Roman" w:hAnsi="Times New Roman" w:cs="Times New Roman"/>
                <w:sz w:val="18"/>
                <w:szCs w:val="18"/>
              </w:rPr>
              <w:t>9 mm</w:t>
            </w:r>
          </w:p>
        </w:tc>
        <w:tc>
          <w:tcPr>
            <w:tcW w:type="dxa" w:w="1728"/>
            <w:vAlign w:val="center"/>
          </w:tcPr>
          <w:p>
            <w:pPr>
              <w:spacing w:after="0" w:line="240" w:lineRule="auto"/>
              <w:jc w:val="center"/>
            </w:pPr>
            <w:r>
              <w:rPr>
                <w:rFonts w:ascii="Times New Roman" w:hAnsi="Times New Roman" w:cs="Times New Roman"/>
                <w:sz w:val="18"/>
                <w:szCs w:val="18"/>
              </w:rPr>
              <w:t>6.5 → 10.5 dBi</w:t>
            </w:r>
          </w:p>
        </w:tc>
      </w:tr>
      <w:tr>
        <w:tc>
          <w:tcPr>
            <w:tcW w:type="dxa" w:w="1800"/>
            <w:vAlign w:val="center"/>
          </w:tcPr>
          <w:p>
            <w:pPr>
              <w:spacing w:after="0" w:line="240" w:lineRule="auto"/>
              <w:jc w:val="left"/>
            </w:pPr>
            <w:r>
              <w:rPr>
                <w:rFonts w:ascii="Times New Roman" w:hAnsi="Times New Roman" w:cs="Times New Roman"/>
                <w:sz w:val="18"/>
                <w:szCs w:val="18"/>
              </w:rPr>
              <w:t>Hammache et al. (2024) [13]</w:t>
            </w:r>
          </w:p>
        </w:tc>
        <w:tc>
          <w:tcPr>
            <w:tcW w:type="dxa" w:w="1728"/>
            <w:vAlign w:val="center"/>
          </w:tcPr>
          <w:p>
            <w:pPr>
              <w:spacing w:after="0" w:line="240" w:lineRule="auto"/>
              <w:jc w:val="center"/>
            </w:pPr>
            <w:r>
              <w:rPr>
                <w:rFonts w:ascii="Times New Roman" w:hAnsi="Times New Roman" w:cs="Times New Roman"/>
                <w:sz w:val="18"/>
                <w:szCs w:val="18"/>
              </w:rPr>
              <w:t>CPW-fed hexagonal monopole</w:t>
            </w:r>
          </w:p>
        </w:tc>
        <w:tc>
          <w:tcPr>
            <w:tcW w:type="dxa" w:w="2232"/>
            <w:vAlign w:val="center"/>
          </w:tcPr>
          <w:p>
            <w:pPr>
              <w:spacing w:after="0" w:line="240" w:lineRule="auto"/>
              <w:jc w:val="center"/>
            </w:pPr>
            <w:r>
              <w:rPr>
                <w:rFonts w:ascii="Times New Roman" w:hAnsi="Times New Roman" w:cs="Times New Roman"/>
                <w:sz w:val="18"/>
                <w:szCs w:val="18"/>
              </w:rPr>
              <w:t>7 × 7 FSS</w:t>
            </w:r>
          </w:p>
        </w:tc>
        <w:tc>
          <w:tcPr>
            <w:tcW w:type="dxa" w:w="1152"/>
            <w:vAlign w:val="center"/>
          </w:tcPr>
          <w:p>
            <w:pPr>
              <w:spacing w:after="0" w:line="240" w:lineRule="auto"/>
              <w:jc w:val="center"/>
            </w:pPr>
            <w:r>
              <w:rPr>
                <w:rFonts w:ascii="Times New Roman" w:hAnsi="Times New Roman" w:cs="Times New Roman"/>
                <w:sz w:val="18"/>
                <w:szCs w:val="18"/>
              </w:rPr>
              <w:t>20 mm</w:t>
            </w:r>
          </w:p>
        </w:tc>
        <w:tc>
          <w:tcPr>
            <w:tcW w:type="dxa" w:w="1728"/>
            <w:vAlign w:val="center"/>
          </w:tcPr>
          <w:p>
            <w:pPr>
              <w:spacing w:after="0" w:line="240" w:lineRule="auto"/>
              <w:jc w:val="center"/>
            </w:pPr>
            <w:r>
              <w:rPr>
                <w:rFonts w:ascii="Times New Roman" w:hAnsi="Times New Roman" w:cs="Times New Roman"/>
                <w:sz w:val="18"/>
                <w:szCs w:val="18"/>
              </w:rPr>
              <w:t>2.2 → 8.4 dBi</w:t>
            </w:r>
          </w:p>
        </w:tc>
      </w:tr>
      <w:tr>
        <w:tc>
          <w:tcPr>
            <w:tcW w:type="dxa" w:w="1800"/>
            <w:vAlign w:val="center"/>
          </w:tcPr>
          <w:p>
            <w:pPr>
              <w:spacing w:after="0" w:line="240" w:lineRule="auto"/>
              <w:jc w:val="left"/>
            </w:pPr>
            <w:r>
              <w:rPr>
                <w:rFonts w:ascii="Times New Roman" w:hAnsi="Times New Roman" w:cs="Times New Roman"/>
                <w:sz w:val="18"/>
                <w:szCs w:val="18"/>
              </w:rPr>
              <w:t>Hasan et al. (2022) [14]</w:t>
            </w:r>
          </w:p>
        </w:tc>
        <w:tc>
          <w:tcPr>
            <w:tcW w:type="dxa" w:w="1728"/>
            <w:vAlign w:val="center"/>
          </w:tcPr>
          <w:p>
            <w:pPr>
              <w:spacing w:after="0" w:line="240" w:lineRule="auto"/>
              <w:jc w:val="center"/>
            </w:pPr>
            <w:r>
              <w:rPr>
                <w:rFonts w:ascii="Times New Roman" w:hAnsi="Times New Roman" w:cs="Times New Roman"/>
                <w:sz w:val="18"/>
                <w:szCs w:val="18"/>
              </w:rPr>
              <w:t>4-port MIMO patch (3.08–7.75 GHz)</w:t>
            </w:r>
          </w:p>
        </w:tc>
        <w:tc>
          <w:tcPr>
            <w:tcW w:type="dxa" w:w="2232"/>
            <w:vAlign w:val="center"/>
          </w:tcPr>
          <w:p>
            <w:pPr>
              <w:spacing w:after="0" w:line="240" w:lineRule="auto"/>
              <w:jc w:val="center"/>
            </w:pPr>
            <w:r>
              <w:rPr>
                <w:rFonts w:ascii="Times New Roman" w:hAnsi="Times New Roman" w:cs="Times New Roman"/>
                <w:sz w:val="18"/>
                <w:szCs w:val="18"/>
              </w:rPr>
              <w:t>10 × 10 copper-backed split-ring metasurface</w:t>
            </w:r>
          </w:p>
        </w:tc>
        <w:tc>
          <w:tcPr>
            <w:tcW w:type="dxa" w:w="1152"/>
            <w:vAlign w:val="center"/>
          </w:tcPr>
          <w:p>
            <w:pPr>
              <w:spacing w:after="0" w:line="240" w:lineRule="auto"/>
              <w:jc w:val="center"/>
            </w:pPr>
            <w:r>
              <w:rPr>
                <w:rFonts w:ascii="Times New Roman" w:hAnsi="Times New Roman" w:cs="Times New Roman"/>
                <w:sz w:val="18"/>
                <w:szCs w:val="18"/>
              </w:rPr>
              <w:t>12 mm</w:t>
            </w:r>
          </w:p>
        </w:tc>
        <w:tc>
          <w:tcPr>
            <w:tcW w:type="dxa" w:w="1728"/>
            <w:vAlign w:val="center"/>
          </w:tcPr>
          <w:p>
            <w:pPr>
              <w:spacing w:after="0" w:line="240" w:lineRule="auto"/>
              <w:jc w:val="center"/>
            </w:pPr>
            <w:r>
              <w:rPr>
                <w:rFonts w:ascii="Times New Roman" w:hAnsi="Times New Roman" w:cs="Times New Roman"/>
                <w:sz w:val="18"/>
                <w:szCs w:val="18"/>
              </w:rPr>
              <w:t>5.4 → 8.3 dBi; isolation &gt; 15.5 dB</w:t>
            </w:r>
          </w:p>
        </w:tc>
      </w:tr>
      <w:tr>
        <w:tc>
          <w:tcPr>
            <w:tcW w:type="dxa" w:w="1800"/>
            <w:shd w:val="clear" w:color="auto" w:fill="DCE6F2"/>
            <w:vAlign w:val="center"/>
          </w:tcPr>
          <w:p>
            <w:pPr>
              <w:spacing w:after="0" w:line="240" w:lineRule="auto"/>
              <w:jc w:val="left"/>
            </w:pPr>
            <w:r>
              <w:rPr>
                <w:rFonts w:ascii="Times New Roman" w:hAnsi="Times New Roman" w:cs="Times New Roman"/>
                <w:b/>
                <w:sz w:val="18"/>
                <w:szCs w:val="18"/>
              </w:rPr>
              <w:t>This work</w:t>
            </w:r>
          </w:p>
        </w:tc>
        <w:tc>
          <w:tcPr>
            <w:tcW w:type="dxa" w:w="1728"/>
            <w:shd w:val="clear" w:color="auto" w:fill="DCE6F2"/>
            <w:vAlign w:val="center"/>
          </w:tcPr>
          <w:p>
            <w:pPr>
              <w:spacing w:after="0" w:line="240" w:lineRule="auto"/>
              <w:jc w:val="center"/>
            </w:pPr>
            <w:r>
              <w:rPr>
                <w:rFonts w:ascii="Times New Roman" w:hAnsi="Times New Roman" w:cs="Times New Roman"/>
                <w:sz w:val="18"/>
                <w:szCs w:val="18"/>
              </w:rPr>
              <w:t>CPW-fed decagonal monopole</w:t>
            </w:r>
          </w:p>
        </w:tc>
        <w:tc>
          <w:tcPr>
            <w:tcW w:type="dxa" w:w="2232"/>
            <w:shd w:val="clear" w:color="auto" w:fill="DCE6F2"/>
            <w:vAlign w:val="center"/>
          </w:tcPr>
          <w:p>
            <w:pPr>
              <w:spacing w:after="0" w:line="240" w:lineRule="auto"/>
              <w:jc w:val="center"/>
            </w:pPr>
            <w:r>
              <w:rPr>
                <w:rFonts w:ascii="Times New Roman" w:hAnsi="Times New Roman" w:cs="Times New Roman"/>
                <w:sz w:val="18"/>
                <w:szCs w:val="18"/>
              </w:rPr>
              <w:t>6 × 5 double split-ring metasurface, copper-backed</w:t>
            </w:r>
          </w:p>
        </w:tc>
        <w:tc>
          <w:tcPr>
            <w:tcW w:type="dxa" w:w="1152"/>
            <w:shd w:val="clear" w:color="auto" w:fill="DCE6F2"/>
            <w:vAlign w:val="center"/>
          </w:tcPr>
          <w:p>
            <w:pPr>
              <w:spacing w:after="0" w:line="240" w:lineRule="auto"/>
              <w:jc w:val="center"/>
            </w:pPr>
            <w:r>
              <w:rPr>
                <w:rFonts w:ascii="Times New Roman" w:hAnsi="Times New Roman" w:cs="Times New Roman"/>
                <w:b/>
                <w:sz w:val="18"/>
                <w:szCs w:val="18"/>
              </w:rPr>
              <w:t>2 mm</w:t>
            </w:r>
          </w:p>
        </w:tc>
        <w:tc>
          <w:tcPr>
            <w:tcW w:type="dxa" w:w="1728"/>
            <w:shd w:val="clear" w:color="auto" w:fill="DCE6F2"/>
            <w:vAlign w:val="center"/>
          </w:tcPr>
          <w:p>
            <w:pPr>
              <w:spacing w:after="0" w:line="240" w:lineRule="auto"/>
              <w:jc w:val="center"/>
            </w:pPr>
            <w:r>
              <w:rPr>
                <w:rFonts w:ascii="Times New Roman" w:hAnsi="Times New Roman" w:cs="Times New Roman"/>
                <w:sz w:val="18"/>
                <w:szCs w:val="18"/>
              </w:rPr>
              <w:t>3.7 → 8.8 dBi</w:t>
              <w:br/>
              <w:t>(directivity,</w:t>
              <w:br/>
              <w:t>1–6 GHz)</w:t>
            </w:r>
          </w:p>
        </w:tc>
      </w:tr>
    </w:tbl>
    <w:p>
      <w:pPr>
        <w:spacing w:after="40" w:line="80" w:lineRule="exact"/>
      </w:pP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Research Gap</w:t>
      </w:r>
    </w:p>
    <w:p>
      <w:pPr>
        <w:spacing w:after="40" w:line="269" w:lineRule="auto"/>
        <w:jc w:val="both"/>
      </w:pPr>
      <w:r>
        <w:rPr>
          <w:rFonts w:ascii="Times New Roman" w:hAnsi="Times New Roman" w:cs="Times New Roman"/>
          <w:sz w:val="21"/>
          <w:szCs w:val="21"/>
        </w:rPr>
        <w:t>In the reviewed works, the reflector usually sits 9–20 mm behind the antenna [11]–[14]. This makes the antenna thick. A much thinner metasurface, only a few millimetres behind the antenna, working over a band as wide as about 2–15 GHz, is rarely reported. The reviewed metasurface MIMO antennas also cover narrower bands [14], [15]. This project therefore aims to place a split-ring metasurface only 2 mm behind a wideband antenna, and then to build a MIMO version of it.</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lastRenderedPageBreak/>
        <w:t>Methodology / Proposed Work</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1. Simulation Setup</w:t>
      </w:r>
    </w:p>
    <w:p>
      <w:pPr>
        <w:spacing w:after="40" w:line="269" w:lineRule="auto"/>
        <w:jc w:val="both"/>
      </w:pPr>
      <w:r>
        <w:rPr>
          <w:rFonts w:ascii="Times New Roman" w:hAnsi="Times New Roman" w:cs="Times New Roman"/>
          <w:sz w:val="21"/>
          <w:szCs w:val="21"/>
        </w:rPr>
        <w:t>All simulations use CST Studio Suite 2019 (frequency-domain solver, 0–18 GHz). The antenna is printed in copper on a 50 × 50 × 1.6 mm FR-4 board. The radiator is a decagonal (10-sided) patch of circumradius R, with its centre fixed at 8 mm on the feed axis. The CPW feed has a 3.0 mm signal strip and 0.5 mm slots, and a waveguide port referenced to 50 Ω excites it. L</w:t>
      </w:r>
      <w:r>
        <w:rPr>
          <w:rFonts w:ascii="Times New Roman" w:hAnsi="Times New Roman" w:cs="Times New Roman"/>
          <w:sz w:val="21"/>
          <w:szCs w:val="21"/>
          <w:vertAlign w:val="subscript"/>
        </w:rPr>
        <w:t>g</w:t>
      </w:r>
      <w:r>
        <w:rPr>
          <w:rFonts w:ascii="Times New Roman" w:hAnsi="Times New Roman" w:cs="Times New Roman"/>
          <w:sz w:val="21"/>
          <w:szCs w:val="21"/>
        </w:rPr>
        <w:t xml:space="preserve"> is the position of the ground edge: −20 mm puts the ground far from the patch, and −7 mm brings it close.</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2. Design Workflow</w:t>
      </w:r>
    </w:p>
    <w:p>
      <w:pPr>
        <w:spacing w:after="40" w:line="269" w:lineRule="auto"/>
        <w:jc w:val="both"/>
      </w:pPr>
      <w:r>
        <w:rPr>
          <w:rFonts w:ascii="Times New Roman" w:hAnsi="Times New Roman" w:cs="Times New Roman"/>
          <w:sz w:val="21"/>
          <w:szCs w:val="21"/>
        </w:rPr>
        <w:t>Fig. 2 shows the design steps. Steps 1–7 are done, and step 8 is Phase II.</w:t>
      </w:r>
    </w:p>
    <w:p>
      <w:pPr>
        <w:keepNext/>
        <w:spacing w:after="20"/>
        <w:jc w:val="center"/>
      </w:pPr>
      <w:r>
        <w:drawing>
          <wp:inline xmlns:a="http://schemas.openxmlformats.org/drawingml/2006/main" xmlns:pic="http://schemas.openxmlformats.org/drawingml/2006/picture">
            <wp:extent cx="4023360" cy="159410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023360" cy="1594108"/>
                    </a:xfrm>
                    <a:prstGeom prst="rect"/>
                  </pic:spPr>
                </pic:pic>
              </a:graphicData>
            </a:graphic>
          </wp:inline>
        </w:drawing>
      </w:r>
    </w:p>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2</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Design workflow (dark: done; dashed: Phase II).</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3. Initial Antenna</w:t>
      </w:r>
    </w:p>
    <w:p>
      <w:pPr>
        <w:spacing w:after="40" w:line="269" w:lineRule="auto"/>
        <w:jc w:val="both"/>
      </w:pPr>
      <w:r>
        <w:rPr>
          <w:rFonts w:ascii="Times New Roman" w:hAnsi="Times New Roman" w:cs="Times New Roman"/>
          <w:sz w:val="21"/>
          <w:szCs w:val="21"/>
        </w:rPr>
        <w:t>The first design used R = 15 mm and L</w:t>
      </w:r>
      <w:r>
        <w:rPr>
          <w:rFonts w:ascii="Times New Roman" w:hAnsi="Times New Roman" w:cs="Times New Roman"/>
          <w:sz w:val="21"/>
          <w:szCs w:val="21"/>
          <w:vertAlign w:val="subscript"/>
        </w:rPr>
        <w:t>g</w:t>
      </w:r>
      <w:r>
        <w:rPr>
          <w:rFonts w:ascii="Times New Roman" w:hAnsi="Times New Roman" w:cs="Times New Roman"/>
          <w:sz w:val="21"/>
          <w:szCs w:val="21"/>
        </w:rPr>
        <w:t xml:space="preserve"> = −20 mm (Fig. 3(a)), which leaves a 13.73 mm gap between the ground and the patch. Its match is poor (Fig. 3(b)): from 2 to 7.7 GHz, S</w:t>
      </w:r>
      <w:r>
        <w:rPr>
          <w:rFonts w:ascii="Times New Roman" w:hAnsi="Times New Roman" w:cs="Times New Roman"/>
          <w:sz w:val="21"/>
          <w:szCs w:val="21"/>
          <w:vertAlign w:val="subscript"/>
        </w:rPr>
        <w:t>11</w:t>
      </w:r>
      <w:r>
        <w:rPr>
          <w:rFonts w:ascii="Times New Roman" w:hAnsi="Times New Roman" w:cs="Times New Roman"/>
          <w:sz w:val="21"/>
          <w:szCs w:val="21"/>
        </w:rPr>
        <w:t xml:space="preserve"> stays between about −2.3 and −7.5 dB. Above 7.7 GHz there are only a few narrow dips below −10 dB, the deepest about −45 dB at 8.56 GHz.</w:t>
      </w:r>
    </w:p>
    <w:tbl>
      <w:tblPr>
        <w:tblW w:type="dxa" w:w="8050"/>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2333"/>
        <w:gridCol w:w="5717"/>
      </w:tblGrid>
      <w:tr>
        <w:tc>
          <w:tcPr>
            <w:tcW w:type="dxa" w:w="2333"/>
          </w:tcPr>
          <w:p>
            <w:pPr>
              <w:keepNext/>
              <w:spacing w:before="0" w:after="0"/>
              <w:jc w:val="center"/>
            </w:pPr>
            <w:r>
              <w:drawing>
                <wp:inline xmlns:a="http://schemas.openxmlformats.org/drawingml/2006/main" xmlns:pic="http://schemas.openxmlformats.org/drawingml/2006/picture">
                  <wp:extent cx="1371600" cy="130697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600" cy="1306970"/>
                          </a:xfrm>
                          <a:prstGeom prst="rect"/>
                        </pic:spPr>
                      </pic:pic>
                    </a:graphicData>
                  </a:graphic>
                </wp:inline>
              </w:drawing>
            </w:r>
          </w:p>
        </w:tc>
        <w:tc>
          <w:tcPr>
            <w:tcW w:type="dxa" w:w="5717"/>
          </w:tcPr>
          <w:p>
            <w:pPr>
              <w:keepNext/>
              <w:spacing w:before="0" w:after="0"/>
              <w:jc w:val="center"/>
            </w:pPr>
            <w:r>
              <w:drawing>
                <wp:inline xmlns:a="http://schemas.openxmlformats.org/drawingml/2006/main" xmlns:pic="http://schemas.openxmlformats.org/drawingml/2006/picture">
                  <wp:extent cx="3520440" cy="138136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520440" cy="1381360"/>
                          </a:xfrm>
                          <a:prstGeom prst="rect"/>
                        </pic:spPr>
                      </pic:pic>
                    </a:graphicData>
                  </a:graphic>
                </wp:inline>
              </w:drawing>
            </w:r>
          </w:p>
        </w:tc>
      </w:tr>
      <w:tr>
        <w:tc>
          <w:tcPr>
            <w:tcW w:type="dxa" w:w="2333"/>
          </w:tcPr>
          <w:p>
            <w:pPr>
              <w:keepNext/>
              <w:spacing w:before="0" w:after="0"/>
              <w:jc w:val="center"/>
            </w:pPr>
            <w:r>
              <w:rPr>
                <w:rFonts w:ascii="Times New Roman" w:hAnsi="Times New Roman" w:cs="Times New Roman"/>
                <w:sz w:val="17"/>
                <w:szCs w:val="17"/>
              </w:rPr>
              <w:t>(a)</w:t>
            </w:r>
          </w:p>
        </w:tc>
        <w:tc>
          <w:tcPr>
            <w:tcW w:type="dxa" w:w="5717"/>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3</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Initial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−20 mm): (a) CST model and (b) simulated S</w:t>
      </w:r>
      <w:r>
        <w:rPr>
          <w:rFonts w:ascii="Times New Roman" w:hAnsi="Times New Roman" w:cs="Times New Roman"/>
          <w:sz w:val="18"/>
          <w:szCs w:val="18"/>
          <w:vertAlign w:val="subscript"/>
        </w:rPr>
        <w:t>11</w:t>
      </w:r>
      <w:r>
        <w:rPr>
          <w:rFonts w:ascii="Times New Roman" w:hAnsi="Times New Roman" w:cs="Times New Roman"/>
          <w:sz w:val="18"/>
          <w:szCs w:val="18"/>
        </w:rPr>
        <w: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4. Ground Position and Patch Size Sweeps</w:t>
      </w:r>
    </w:p>
    <w:p>
      <w:pPr>
        <w:spacing w:after="40" w:line="269" w:lineRule="auto"/>
        <w:jc w:val="both"/>
      </w:pPr>
      <w:r>
        <w:rPr>
          <w:rFonts w:ascii="Times New Roman" w:hAnsi="Times New Roman" w:cs="Times New Roman"/>
          <w:sz w:val="21"/>
          <w:szCs w:val="21"/>
        </w:rPr>
        <w:t>First, L</w:t>
      </w:r>
      <w:r>
        <w:rPr>
          <w:rFonts w:ascii="Times New Roman" w:hAnsi="Times New Roman" w:cs="Times New Roman"/>
          <w:sz w:val="21"/>
          <w:szCs w:val="21"/>
          <w:vertAlign w:val="subscript"/>
        </w:rPr>
        <w:t>g</w:t>
      </w:r>
      <w:r>
        <w:rPr>
          <w:rFonts w:ascii="Times New Roman" w:hAnsi="Times New Roman" w:cs="Times New Roman"/>
          <w:sz w:val="21"/>
          <w:szCs w:val="21"/>
        </w:rPr>
        <w:t xml:space="preserve"> was swept from −20 to −7 mm in 10 values, with R = 15 mm (Fig. 4(a)). Moving the ground closer to the patch strengthens their coupling and improves the low-frequency match. Only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keeps S</w:t>
      </w:r>
      <w:r>
        <w:rPr>
          <w:rFonts w:ascii="Times New Roman" w:hAnsi="Times New Roman" w:cs="Times New Roman"/>
          <w:sz w:val="21"/>
          <w:szCs w:val="21"/>
          <w:vertAlign w:val="subscript"/>
        </w:rPr>
        <w:t>11</w:t>
      </w:r>
      <w:r>
        <w:rPr>
          <w:rFonts w:ascii="Times New Roman" w:hAnsi="Times New Roman" w:cs="Times New Roman"/>
          <w:sz w:val="21"/>
          <w:szCs w:val="21"/>
        </w:rPr>
        <w:t xml:space="preserve"> below −10 dB across the band, so it was chosen; the feed gap is then about 0.73 mm.</w:t>
      </w:r>
    </w:p>
    <w:p>
      <w:pPr>
        <w:spacing w:after="40" w:line="269" w:lineRule="auto"/>
        <w:jc w:val="both"/>
      </w:pPr>
      <w:r>
        <w:rPr>
          <w:rFonts w:ascii="Times New Roman" w:hAnsi="Times New Roman" w:cs="Times New Roman"/>
          <w:sz w:val="21"/>
          <w:szCs w:val="21"/>
        </w:rPr>
        <w:t>Next, R was swept from 4 to 15 mm in 13 values, with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(Fig. 4(b)). Every patch size gives a first dip near 2.3–2.7 GHz, but small patches leave much of 3–12 GHz poorly matched (−3 to −9 dB). Only R = 15 mm joins the resonances into one continuous band. Because the patch centre is fixed, a larger R also narrows the feed gap.</w:t>
      </w:r>
    </w:p>
    <w:tbl>
      <w:tblPr>
        <w:tblW w:type="dxa" w:w="855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277"/>
        <w:gridCol w:w="4277"/>
      </w:tblGrid>
      <w:tr>
        <w:tc>
          <w:tcPr>
            <w:tcW w:type="dxa" w:w="4277"/>
          </w:tcPr>
          <w:p>
            <w:pPr>
              <w:keepNext/>
              <w:spacing w:before="0" w:after="0"/>
              <w:jc w:val="center"/>
            </w:pPr>
            <w:r>
              <w:drawing>
                <wp:inline xmlns:a="http://schemas.openxmlformats.org/drawingml/2006/main" xmlns:pic="http://schemas.openxmlformats.org/drawingml/2006/picture">
                  <wp:extent cx="2606040" cy="1114359"/>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606040" cy="1114359"/>
                          </a:xfrm>
                          <a:prstGeom prst="rect"/>
                        </pic:spPr>
                      </pic:pic>
                    </a:graphicData>
                  </a:graphic>
                </wp:inline>
              </w:drawing>
            </w:r>
          </w:p>
        </w:tc>
        <w:tc>
          <w:tcPr>
            <w:tcW w:type="dxa" w:w="4277"/>
          </w:tcPr>
          <w:p>
            <w:pPr>
              <w:keepNext/>
              <w:spacing w:before="0" w:after="0"/>
              <w:jc w:val="center"/>
            </w:pPr>
            <w:r>
              <w:drawing>
                <wp:inline xmlns:a="http://schemas.openxmlformats.org/drawingml/2006/main" xmlns:pic="http://schemas.openxmlformats.org/drawingml/2006/picture">
                  <wp:extent cx="2606040" cy="110900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606040" cy="1109006"/>
                          </a:xfrm>
                          <a:prstGeom prst="rect"/>
                        </pic:spPr>
                      </pic:pic>
                    </a:graphicData>
                  </a:graphic>
                </wp:inline>
              </w:drawing>
            </w:r>
          </w:p>
        </w:tc>
      </w:tr>
      <w:tr>
        <w:tc>
          <w:tcPr>
            <w:tcW w:type="dxa" w:w="4277"/>
          </w:tcPr>
          <w:p>
            <w:pPr>
              <w:keepNext/>
              <w:spacing w:before="0" w:after="0"/>
              <w:jc w:val="center"/>
            </w:pPr>
            <w:r>
              <w:rPr>
                <w:rFonts w:ascii="Times New Roman" w:hAnsi="Times New Roman" w:cs="Times New Roman"/>
                <w:sz w:val="17"/>
                <w:szCs w:val="17"/>
              </w:rPr>
              <w:t>(a)</w:t>
            </w:r>
          </w:p>
        </w:tc>
        <w:tc>
          <w:tcPr>
            <w:tcW w:type="dxa" w:w="4277"/>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4</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w:t>
      </w:r>
      <w:r>
        <w:rPr>
          <w:rFonts w:ascii="Times New Roman" w:hAnsi="Times New Roman" w:cs="Times New Roman"/>
          <w:sz w:val="18"/>
          <w:szCs w:val="18"/>
          <w:vertAlign w:val="subscript"/>
        </w:rPr>
        <w:t>11</w:t>
      </w:r>
      <w:r>
        <w:rPr>
          <w:rFonts w:ascii="Times New Roman" w:hAnsi="Times New Roman" w:cs="Times New Roman"/>
          <w:sz w:val="18"/>
          <w:szCs w:val="18"/>
        </w:rPr>
        <w:t xml:space="preserve"> sweeps: (a) L</w:t>
      </w:r>
      <w:r>
        <w:rPr>
          <w:rFonts w:ascii="Times New Roman" w:hAnsi="Times New Roman" w:cs="Times New Roman"/>
          <w:sz w:val="18"/>
          <w:szCs w:val="18"/>
          <w:vertAlign w:val="subscript"/>
        </w:rPr>
        <w:t>g</w:t>
      </w:r>
      <w:r>
        <w:rPr>
          <w:rFonts w:ascii="Times New Roman" w:hAnsi="Times New Roman" w:cs="Times New Roman"/>
          <w:sz w:val="18"/>
          <w:szCs w:val="18"/>
        </w:rPr>
        <w:t xml:space="preserve"> from −20 to −7 mm (blue: −7 mm) and (b) R from 4 to 15 mm (brown: 15 mm); other values are grey. Jumps near 4.0 and 6.2 GHz in some grey curves are sampling artefacts.</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5. Optimised Antenna</w:t>
      </w:r>
    </w:p>
    <w:p>
      <w:pPr>
        <w:spacing w:after="40" w:line="269" w:lineRule="auto"/>
        <w:jc w:val="both"/>
      </w:pPr>
      <w:r>
        <w:rPr>
          <w:rFonts w:ascii="Times New Roman" w:hAnsi="Times New Roman" w:cs="Times New Roman"/>
          <w:sz w:val="21"/>
          <w:szCs w:val="21"/>
        </w:rPr>
        <w:t>The optimised antenna (R = 15 mm, L</w:t>
      </w:r>
      <w:r>
        <w:rPr>
          <w:rFonts w:ascii="Times New Roman" w:hAnsi="Times New Roman" w:cs="Times New Roman"/>
          <w:sz w:val="21"/>
          <w:szCs w:val="21"/>
          <w:vertAlign w:val="subscript"/>
        </w:rPr>
        <w:t>g</w:t>
      </w:r>
      <w:r>
        <w:rPr>
          <w:rFonts w:ascii="Times New Roman" w:hAnsi="Times New Roman" w:cs="Times New Roman"/>
          <w:sz w:val="21"/>
          <w:szCs w:val="21"/>
        </w:rPr>
        <w:t xml:space="preserve"> = −7 mm) is shown in Fig. 5(a). Its S</w:t>
      </w:r>
      <w:r>
        <w:rPr>
          <w:rFonts w:ascii="Times New Roman" w:hAnsi="Times New Roman" w:cs="Times New Roman"/>
          <w:sz w:val="21"/>
          <w:szCs w:val="21"/>
          <w:vertAlign w:val="subscript"/>
        </w:rPr>
        <w:t>11</w:t>
      </w:r>
      <w:r>
        <w:rPr>
          <w:rFonts w:ascii="Times New Roman" w:hAnsi="Times New Roman" w:cs="Times New Roman"/>
          <w:sz w:val="21"/>
          <w:szCs w:val="21"/>
        </w:rPr>
        <w:t xml:space="preserve"> is below −10 dB from 2.16 to 15.73 GHz, about 13.6 GHz of bandwidth (Fig. 5(b)). It has resonances at 2.73, 4.78, 9.23 and 14.32 GHz; the deepest is −32.65 dB at 2.73 GHz. The match is thin near 6.45 GHz (−10.3 dB) and 12.2 GHz (−10.5 dB).</w:t>
      </w:r>
    </w:p>
    <w:tbl>
      <w:tblPr>
        <w:tblW w:type="dxa" w:w="783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2261"/>
        <w:gridCol w:w="5573"/>
      </w:tblGrid>
      <w:tr>
        <w:tc>
          <w:tcPr>
            <w:tcW w:type="dxa" w:w="2261"/>
          </w:tcPr>
          <w:p>
            <w:pPr>
              <w:keepNext/>
              <w:spacing w:before="0" w:after="0"/>
              <w:jc w:val="center"/>
            </w:pPr>
            <w:r>
              <w:drawing>
                <wp:inline xmlns:a="http://schemas.openxmlformats.org/drawingml/2006/main" xmlns:pic="http://schemas.openxmlformats.org/drawingml/2006/picture">
                  <wp:extent cx="1325880" cy="1325880"/>
                  <wp:docPr id="9" name="Picture 9"/>
                  <wp:cNvGraphicFramePr>
                    <a:graphicFrameLocks noChangeAspect="1"/>
                  </wp:cNvGraphicFramePr>
                  <a:graphic>
                    <a:graphicData uri="http://schemas.openxmlformats.org/drawingml/2006/picture">
                      <pic:pic>
                        <pic:nvPicPr>
                          <pic:cNvPr id="0" name="cst_final_antenna.png"/>
                          <pic:cNvPicPr/>
                        </pic:nvPicPr>
                        <pic:blipFill>
                          <a:blip r:embed="rId16"/>
                          <a:stretch>
                            <a:fillRect/>
                          </a:stretch>
                        </pic:blipFill>
                        <pic:spPr>
                          <a:xfrm>
                            <a:off x="0" y="0"/>
                            <a:ext cx="1325880" cy="1325880"/>
                          </a:xfrm>
                          <a:prstGeom prst="rect"/>
                        </pic:spPr>
                      </pic:pic>
                    </a:graphicData>
                  </a:graphic>
                </wp:inline>
              </w:drawing>
            </w:r>
          </w:p>
        </w:tc>
        <w:tc>
          <w:tcPr>
            <w:tcW w:type="dxa" w:w="5573"/>
          </w:tcPr>
          <w:p>
            <w:pPr>
              <w:keepNext/>
              <w:spacing w:before="0" w:after="0"/>
              <w:jc w:val="center"/>
            </w:pPr>
            <w:r>
              <w:drawing>
                <wp:inline xmlns:a="http://schemas.openxmlformats.org/drawingml/2006/main" xmlns:pic="http://schemas.openxmlformats.org/drawingml/2006/picture">
                  <wp:extent cx="3429000" cy="1414917"/>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429000" cy="1414917"/>
                          </a:xfrm>
                          <a:prstGeom prst="rect"/>
                        </pic:spPr>
                      </pic:pic>
                    </a:graphicData>
                  </a:graphic>
                </wp:inline>
              </w:drawing>
            </w:r>
          </w:p>
        </w:tc>
      </w:tr>
      <w:tr>
        <w:tc>
          <w:tcPr>
            <w:tcW w:type="dxa" w:w="2261"/>
          </w:tcPr>
          <w:p>
            <w:pPr>
              <w:keepNext/>
              <w:spacing w:before="0" w:after="0"/>
              <w:jc w:val="center"/>
            </w:pPr>
            <w:r>
              <w:rPr>
                <w:rFonts w:ascii="Times New Roman" w:hAnsi="Times New Roman" w:cs="Times New Roman"/>
                <w:sz w:val="17"/>
                <w:szCs w:val="17"/>
              </w:rPr>
              <w:t>(a)</w:t>
            </w:r>
          </w:p>
        </w:tc>
        <w:tc>
          <w:tcPr>
            <w:tcW w:type="dxa" w:w="5573"/>
          </w:tcPr>
          <w:p>
            <w:pPr>
              <w:keepNext/>
              <w:spacing w:before="0" w:after="0"/>
              <w:jc w:val="center"/>
            </w:pPr>
            <w:r>
              <w:rPr>
                <w:rFonts w:ascii="Times New Roman" w:hAnsi="Times New Roman" w:cs="Times New Roman"/>
                <w:sz w:val="17"/>
                <w:szCs w:val="17"/>
              </w:rPr>
              <w:t>(b)</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5</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Optimised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−7 mm): (a) CST model, front view, and (b) simulated S</w:t>
      </w:r>
      <w:r>
        <w:rPr>
          <w:rFonts w:ascii="Times New Roman" w:hAnsi="Times New Roman" w:cs="Times New Roman"/>
          <w:sz w:val="18"/>
          <w:szCs w:val="18"/>
          <w:vertAlign w:val="subscript"/>
        </w:rPr>
        <w:t>11</w:t>
      </w:r>
      <w:r>
        <w:rPr>
          <w:rFonts w:ascii="Times New Roman" w:hAnsi="Times New Roman" w:cs="Times New Roman"/>
          <w:sz w:val="18"/>
          <w:szCs w:val="18"/>
        </w:rPr>
        <w:t xml:space="preserve"> with markers at the −10 dB band edges (2.16 and 15.73 GHz).</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6. Metasurface Design</w:t>
      </w:r>
    </w:p>
    <w:p>
      <w:pPr>
        <w:spacing w:after="40" w:line="269" w:lineRule="auto"/>
        <w:jc w:val="both"/>
      </w:pPr>
      <w:r>
        <w:rPr>
          <w:rFonts w:ascii="Times New Roman" w:hAnsi="Times New Roman" w:cs="Times New Roman"/>
          <w:sz w:val="21"/>
          <w:szCs w:val="21"/>
        </w:rPr>
        <w:t>The metasurface is a 6 × 5 array of double split-ring cells, each with two concentric split rings, printed on FR-4 with full copper on the back (Fig. 1(b)). It is placed 2 mm behind the antenna across an air gap (Fig. 1(a)). The reflection phase of a single cell has not been simulated yet.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7. Antenna with Metasurface</w:t>
      </w:r>
    </w:p>
    <w:p>
      <w:pPr>
        <w:spacing w:after="40" w:line="269" w:lineRule="auto"/>
        <w:jc w:val="both"/>
      </w:pPr>
      <w:r>
        <w:rPr>
          <w:rFonts w:ascii="Times New Roman" w:hAnsi="Times New Roman" w:cs="Times New Roman"/>
          <w:sz w:val="21"/>
          <w:szCs w:val="21"/>
        </w:rPr>
        <w:t>With the metasurface, S</w:t>
      </w:r>
      <w:r>
        <w:rPr>
          <w:rFonts w:ascii="Times New Roman" w:hAnsi="Times New Roman" w:cs="Times New Roman"/>
          <w:sz w:val="21"/>
          <w:szCs w:val="21"/>
          <w:vertAlign w:val="subscript"/>
        </w:rPr>
        <w:t>11</w:t>
      </w:r>
      <w:r>
        <w:rPr>
          <w:rFonts w:ascii="Times New Roman" w:hAnsi="Times New Roman" w:cs="Times New Roman"/>
          <w:sz w:val="21"/>
          <w:szCs w:val="21"/>
        </w:rPr>
        <w:t xml:space="preserve"> is below −10 dB from about 2.0 GHz up to 18 GHz, the end of the simulation, except in three narrow gaps: 3.0–3.4 GHz (worst −6.6 dB near 3.14 GHz), 4.5–4.7 GHz (worst −9.7 dB) and 5.1–5.6 GHz (worst −8.8 dB near 5.34 GHz) (Fig. 6). At such a small gap, the metasurface loads the antenna and changes its input match. The gap, ring size and ground position will be tuned to remove these gaps. Subsection 8 shows how the metasurface changes the directivity.</w:t>
      </w:r>
    </w:p>
    <w:tbl>
      <w:tblPr>
        <w:tblW w:type="dxa" w:w="8554"/>
        <w:jc w:val="center"/>
        <w:tblBorders>
          <w:top w:val="none"/>
          <w:left w:val="none"/>
          <w:bottom w:val="none"/>
          <w:right w:val="none"/>
          <w:insideH w:val="none"/>
          <w:insideV w:val="none"/>
        </w:tblBorders>
        <w:tblLayout w:type="fixed"/>
        <w:tblCellMar>
          <w:left w:w="0" w:type="dxa"/>
          <w:right w:w="0" w:type="dxa"/>
        </w:tblCellMar>
        <w:tblLook w:firstColumn="1" w:firstRow="1" w:lastColumn="0" w:lastRow="0" w:noHBand="0" w:noVBand="1" w:val="04A0"/>
      </w:tblPr>
      <w:tblGrid>
        <w:gridCol w:w="4277"/>
        <w:gridCol w:w="4277"/>
      </w:tblGrid>
      <w:tr>
        <w:tc>
          <w:tcPr>
            <w:tcW w:type="dxa" w:w="4277"/>
          </w:tcPr>
          <w:p>
            <w:pPr>
              <w:keepNext/>
              <w:spacing w:before="0" w:after="0"/>
              <w:jc w:val="center"/>
            </w:pPr>
            <w:r>
              <w:drawing>
                <wp:inline xmlns:a="http://schemas.openxmlformats.org/drawingml/2006/main" xmlns:pic="http://schemas.openxmlformats.org/drawingml/2006/picture">
                  <wp:extent cx="2606040" cy="106305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606040" cy="1063053"/>
                          </a:xfrm>
                          <a:prstGeom prst="rect"/>
                        </pic:spPr>
                      </pic:pic>
                    </a:graphicData>
                  </a:graphic>
                </wp:inline>
              </w:drawing>
            </w:r>
          </w:p>
        </w:tc>
        <w:tc>
          <w:tcPr>
            <w:tcW w:type="dxa" w:w="4277"/>
          </w:tcPr>
          <w:p>
            <w:pPr>
              <w:keepNext/>
              <w:spacing w:before="0" w:after="0"/>
              <w:jc w:val="center"/>
            </w:pPr>
            <w:r>
              <w:drawing>
                <wp:inline xmlns:a="http://schemas.openxmlformats.org/drawingml/2006/main" xmlns:pic="http://schemas.openxmlformats.org/drawingml/2006/picture">
                  <wp:extent cx="2606040" cy="1063053"/>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606040" cy="1063053"/>
                          </a:xfrm>
                          <a:prstGeom prst="rect"/>
                        </pic:spPr>
                      </pic:pic>
                    </a:graphicData>
                  </a:graphic>
                </wp:inline>
              </w:drawing>
            </w:r>
          </w:p>
        </w:tc>
      </w:tr>
      <w:tr>
        <w:tc>
          <w:tcPr>
            <w:tcW w:type="dxa" w:w="4277"/>
          </w:tcPr>
          <w:p>
            <w:pPr>
              <w:keepNext/>
              <w:spacing w:before="0" w:after="0"/>
              <w:jc w:val="center"/>
            </w:pPr>
            <w:r>
              <w:rPr>
                <w:rFonts w:ascii="Times New Roman" w:hAnsi="Times New Roman" w:cs="Times New Roman"/>
                <w:sz w:val="17"/>
                <w:szCs w:val="17"/>
              </w:rPr>
              <w:t>(a) Antenna alone</w:t>
            </w:r>
          </w:p>
        </w:tc>
        <w:tc>
          <w:tcPr>
            <w:tcW w:type="dxa" w:w="4277"/>
          </w:tcPr>
          <w:p>
            <w:pPr>
              <w:keepNext/>
              <w:spacing w:before="0" w:after="0"/>
              <w:jc w:val="center"/>
            </w:pPr>
            <w:r>
              <w:rPr>
                <w:rFonts w:ascii="Times New Roman" w:hAnsi="Times New Roman" w:cs="Times New Roman"/>
                <w:sz w:val="17"/>
                <w:szCs w:val="17"/>
              </w:rPr>
              <w:t>(b) Antenna + metasurface</w:t>
            </w:r>
          </w:p>
        </w:tc>
      </w:tr>
    </w:tbl>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6</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Simulated S</w:t>
      </w:r>
      <w:r>
        <w:rPr>
          <w:rFonts w:ascii="Times New Roman" w:hAnsi="Times New Roman" w:cs="Times New Roman"/>
          <w:sz w:val="18"/>
          <w:szCs w:val="18"/>
          <w:vertAlign w:val="subscript"/>
        </w:rPr>
        <w:t>11</w:t>
      </w:r>
      <w:r>
        <w:rPr>
          <w:rFonts w:ascii="Times New Roman" w:hAnsi="Times New Roman" w:cs="Times New Roman"/>
          <w:sz w:val="18"/>
          <w:szCs w:val="18"/>
        </w:rPr>
        <w:t>: (a) antenna alone and (b) antenna with the metasurface 2 mm behind it.</w:t>
      </w: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8. Directivity with and without the Metasurface</w:t>
      </w:r>
    </w:p>
    <w:p>
      <w:pPr>
        <w:spacing w:after="40" w:line="269" w:lineRule="auto"/>
        <w:jc w:val="both"/>
      </w:pPr>
      <w:r>
        <w:rPr>
          <w:rFonts w:ascii="Times New Roman" w:hAnsi="Times New Roman" w:cs="Times New Roman"/>
          <w:sz w:val="21"/>
          <w:szCs w:val="21"/>
        </w:rPr>
        <w:t>Fig. 7 compares the directivity of the antenna alone and with the metasurface, taken as the highest value in the φ = 0° plane. Directivity is the gain without losses. The metasurface run covers only 1 to 6 GHz, so nothing is known above 6 GHz yet. With the metasurface, the peak directivity rises from 3.7 dBi near 4 GHz to 8.8 dBi at 5.9 GHz. Over 2–6 GHz (below 2 GHz the antenna is not matched), the directivity with the metasurface is higher on about 78 % of the band, and its average rises from 2.3 to 3.9 dBi (+1.6 dB).</w:t>
      </w:r>
    </w:p>
    <w:p>
      <w:pPr>
        <w:spacing w:after="40" w:line="269" w:lineRule="auto"/>
        <w:jc w:val="both"/>
      </w:pPr>
      <w:r>
        <w:rPr>
          <w:rFonts w:ascii="Times New Roman" w:hAnsi="Times New Roman" w:cs="Times New Roman"/>
          <w:sz w:val="21"/>
          <w:szCs w:val="21"/>
        </w:rPr>
        <w:t>The antenna alone is higher in only two narrow bands: about 2.9–3.1 GHz (by up to 3.1 dB, next to the first mismatch gap) and 3.3–4.0 GHz. Overall, the metasurface makes the antenna more directive. Its copper back reflects the backward wave forward, so more power goes forward. This is why it was added. Realized gain, which also counts losses and mismatch, is the next step.</w:t>
      </w:r>
    </w:p>
    <w:p>
      <w:pPr>
        <w:keepNext/>
        <w:spacing w:after="20"/>
        <w:jc w:val="center"/>
      </w:pPr>
      <w:r>
        <w:drawing>
          <wp:inline xmlns:a="http://schemas.openxmlformats.org/drawingml/2006/main" xmlns:pic="http://schemas.openxmlformats.org/drawingml/2006/picture">
            <wp:extent cx="4572000" cy="2572364"/>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572000" cy="2572364"/>
                    </a:xfrm>
                    <a:prstGeom prst="rect"/>
                  </pic:spPr>
                </pic:pic>
              </a:graphicData>
            </a:graphic>
          </wp:inline>
        </w:drawing>
      </w:r>
    </w:p>
    <w:p>
      <w:pPr>
        <w:keepNext w:val="0"/>
        <w:spacing w:before="20" w:after="40"/>
        <w:jc w:val="center"/>
      </w:pPr>
      <w:r>
        <w:rPr>
          <w:rFonts w:ascii="Times New Roman" w:hAnsi="Times New Roman" w:cs="Times New Roman"/>
          <w:b/>
          <w:sz w:val="18"/>
          <w:szCs w:val="18"/>
        </w:rPr>
        <w:t xml:space="preserve">Fig.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Figure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7</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Simulated directivity (highest value in the φ = 0° plane) of the antenna alone and with the metasurface 2 mm behind it, redrawn from the CST plots. Shading marks where each case is higher.</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lastRenderedPageBreak/>
        <w:t>Work Done Till Mid-Semester</w:t>
      </w:r>
    </w:p>
    <w:p>
      <w:pPr>
        <w:spacing w:after="40" w:line="269" w:lineRule="auto"/>
        <w:jc w:val="both"/>
      </w:pPr>
      <w:r>
        <w:rPr>
          <w:rFonts w:ascii="Times New Roman" w:hAnsi="Times New Roman" w:cs="Times New Roman"/>
          <w:sz w:val="21"/>
          <w:szCs w:val="21"/>
        </w:rPr>
        <w:t>In Phase I so far, the single antenna was designed and optimised in CST, the split-ring metasurface was designed and simulated with it, and the directivity with and without the metasurface was compared. Table 2 gives the status of each Phase I task and its main result.</w:t>
      </w:r>
    </w:p>
    <w:p>
      <w:pPr>
        <w:keepNext/>
        <w:spacing w:before="20" w:after="40"/>
        <w:jc w:val="center"/>
      </w:pPr>
      <w:r>
        <w:rPr>
          <w:rFonts w:ascii="Times New Roman" w:hAnsi="Times New Roman" w:cs="Times New Roman"/>
          <w:b/>
          <w:sz w:val="18"/>
          <w:szCs w:val="18"/>
        </w:rPr>
        <w:t xml:space="preserve">Table </w:t>
      </w:r>
      <w:r>
        <w:rPr>
          <w:rFonts w:ascii="Times New Roman" w:hAnsi="Times New Roman" w:cs="Times New Roman"/>
          <w:b/>
          <w:sz w:val="18"/>
          <w:szCs w:val="18"/>
        </w:rPr>
        <w:fldChar w:fldCharType="begin"/>
      </w:r>
      <w:r>
        <w:rPr>
          <w:rFonts w:ascii="Times New Roman" w:hAnsi="Times New Roman" w:cs="Times New Roman"/>
          <w:b/>
          <w:sz w:val="18"/>
          <w:szCs w:val="18"/>
        </w:rPr>
        <w:instrText xml:space="preserve"> SEQ Table \* ARABIC </w:instrText>
      </w:r>
      <w:r>
        <w:rPr>
          <w:rFonts w:ascii="Times New Roman" w:hAnsi="Times New Roman" w:cs="Times New Roman"/>
          <w:b/>
          <w:sz w:val="18"/>
          <w:szCs w:val="18"/>
        </w:rPr>
        <w:fldChar w:fldCharType="separate"/>
      </w:r>
      <w:r>
        <w:rPr>
          <w:rFonts w:ascii="Times New Roman" w:hAnsi="Times New Roman" w:cs="Times New Roman"/>
          <w:b/>
          <w:sz w:val="18"/>
          <w:szCs w:val="18"/>
        </w:rPr>
        <w:t>2</w:t>
      </w:r>
      <w:r>
        <w:rPr>
          <w:rFonts w:ascii="Times New Roman" w:hAnsi="Times New Roman" w:cs="Times New Roman"/>
          <w:b/>
          <w:sz w:val="18"/>
          <w:szCs w:val="18"/>
        </w:rPr>
        <w:fldChar w:fldCharType="end"/>
      </w:r>
      <w:r>
        <w:rPr>
          <w:rFonts w:ascii="Times New Roman" w:hAnsi="Times New Roman" w:cs="Times New Roman"/>
          <w:b/>
          <w:sz w:val="18"/>
          <w:szCs w:val="18"/>
        </w:rPr>
        <w:t xml:space="preserve">. </w:t>
      </w:r>
      <w:r>
        <w:rPr>
          <w:rFonts w:ascii="Times New Roman" w:hAnsi="Times New Roman" w:cs="Times New Roman"/>
          <w:sz w:val="18"/>
          <w:szCs w:val="18"/>
        </w:rPr>
        <w:t>Status of Phase I.</w:t>
      </w:r>
    </w:p>
    <w:tbl>
      <w:tblPr>
        <w:tblStyle w:val="TableGrid"/>
        <w:tblW w:type="auto" w:w="0"/>
        <w:jc w:val="center"/>
        <w:tblLayout w:type="fixed"/>
        <w:tblLook w:firstColumn="1" w:firstRow="1" w:lastColumn="0" w:lastRow="0" w:noHBand="0" w:noVBand="1" w:val="04A0"/>
      </w:tblPr>
      <w:tblGrid>
        <w:gridCol w:w="3960"/>
        <w:gridCol w:w="1080"/>
        <w:gridCol w:w="3600"/>
      </w:tblGrid>
      <w:tr>
        <w:trPr>
          <w:tblHeader/>
        </w:trPr>
        <w:tc>
          <w:tcPr>
            <w:tcW w:type="dxa" w:w="3960"/>
            <w:shd w:val="clear" w:color="auto" w:fill="D9D9D9"/>
            <w:vAlign w:val="center"/>
          </w:tcPr>
          <w:p>
            <w:pPr>
              <w:spacing w:after="0" w:line="240" w:lineRule="auto"/>
              <w:jc w:val="left"/>
            </w:pPr>
            <w:r>
              <w:rPr>
                <w:rFonts w:ascii="Times New Roman" w:hAnsi="Times New Roman" w:cs="Times New Roman"/>
                <w:b/>
                <w:sz w:val="18"/>
                <w:szCs w:val="18"/>
              </w:rPr>
              <w:t>Task</w:t>
            </w:r>
          </w:p>
        </w:tc>
        <w:tc>
          <w:tcPr>
            <w:tcW w:type="dxa" w:w="1080"/>
            <w:shd w:val="clear" w:color="auto" w:fill="D9D9D9"/>
            <w:vAlign w:val="center"/>
          </w:tcPr>
          <w:p>
            <w:pPr>
              <w:spacing w:after="0" w:line="240" w:lineRule="auto"/>
              <w:jc w:val="center"/>
            </w:pPr>
            <w:r>
              <w:rPr>
                <w:rFonts w:ascii="Times New Roman" w:hAnsi="Times New Roman" w:cs="Times New Roman"/>
                <w:b/>
                <w:sz w:val="18"/>
                <w:szCs w:val="18"/>
              </w:rPr>
              <w:t>Status</w:t>
            </w:r>
          </w:p>
        </w:tc>
        <w:tc>
          <w:tcPr>
            <w:tcW w:type="dxa" w:w="3600"/>
            <w:shd w:val="clear" w:color="auto" w:fill="D9D9D9"/>
            <w:vAlign w:val="center"/>
          </w:tcPr>
          <w:p>
            <w:pPr>
              <w:spacing w:after="0" w:line="240" w:lineRule="auto"/>
              <w:jc w:val="center"/>
            </w:pPr>
            <w:r>
              <w:rPr>
                <w:rFonts w:ascii="Times New Roman" w:hAnsi="Times New Roman" w:cs="Times New Roman"/>
                <w:b/>
                <w:sz w:val="18"/>
                <w:szCs w:val="18"/>
              </w:rPr>
              <w:t>Main result</w:t>
            </w:r>
          </w:p>
        </w:tc>
      </w:tr>
      <w:tr>
        <w:tc>
          <w:tcPr>
            <w:tcW w:type="dxa" w:w="3960"/>
            <w:vAlign w:val="center"/>
          </w:tcPr>
          <w:p>
            <w:pPr>
              <w:spacing w:after="0" w:line="240" w:lineRule="auto"/>
              <w:jc w:val="left"/>
            </w:pPr>
            <w:r>
              <w:rPr>
                <w:rFonts w:ascii="Times New Roman" w:hAnsi="Times New Roman" w:cs="Times New Roman"/>
                <w:sz w:val="18"/>
                <w:szCs w:val="18"/>
              </w:rPr>
              <w:t>Initial antenna (R = 15 mm, L</w:t>
            </w:r>
            <w:r>
              <w:rPr>
                <w:rFonts w:ascii="Times New Roman" w:hAnsi="Times New Roman" w:cs="Times New Roman"/>
                <w:sz w:val="18"/>
                <w:szCs w:val="18"/>
                <w:vertAlign w:val="subscript"/>
              </w:rPr>
              <w:t>g</w:t>
            </w:r>
            <w:r>
              <w:rPr>
                <w:rFonts w:ascii="Times New Roman" w:hAnsi="Times New Roman" w:cs="Times New Roman"/>
                <w:sz w:val="18"/>
                <w:szCs w:val="18"/>
              </w:rPr>
              <w:t xml:space="preserve"> = −20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Poor match from 2 to 7.7 GHz</w:t>
            </w:r>
          </w:p>
        </w:tc>
      </w:tr>
      <w:tr>
        <w:tc>
          <w:tcPr>
            <w:tcW w:type="dxa" w:w="3960"/>
            <w:vAlign w:val="center"/>
          </w:tcPr>
          <w:p>
            <w:pPr>
              <w:spacing w:after="0" w:line="240" w:lineRule="auto"/>
              <w:jc w:val="left"/>
            </w:pPr>
            <w:r>
              <w:rPr>
                <w:rFonts w:ascii="Times New Roman" w:hAnsi="Times New Roman" w:cs="Times New Roman"/>
                <w:sz w:val="18"/>
                <w:szCs w:val="18"/>
              </w:rPr>
              <w:t>Ground position sweep (L</w:t>
            </w:r>
            <w:r>
              <w:rPr>
                <w:rFonts w:ascii="Times New Roman" w:hAnsi="Times New Roman" w:cs="Times New Roman"/>
                <w:sz w:val="18"/>
                <w:szCs w:val="18"/>
                <w:vertAlign w:val="subscript"/>
              </w:rPr>
              <w:t>g</w:t>
            </w:r>
            <w:r>
              <w:rPr>
                <w:rFonts w:ascii="Times New Roman" w:hAnsi="Times New Roman" w:cs="Times New Roman"/>
                <w:sz w:val="18"/>
                <w:szCs w:val="18"/>
              </w:rPr>
              <w:t xml:space="preserve"> from −20 to −7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L</w:t>
            </w:r>
            <w:r>
              <w:rPr>
                <w:rFonts w:ascii="Times New Roman" w:hAnsi="Times New Roman" w:cs="Times New Roman"/>
                <w:sz w:val="18"/>
                <w:szCs w:val="18"/>
                <w:vertAlign w:val="subscript"/>
              </w:rPr>
              <w:t>g</w:t>
            </w:r>
            <w:r>
              <w:rPr>
                <w:rFonts w:ascii="Times New Roman" w:hAnsi="Times New Roman" w:cs="Times New Roman"/>
                <w:sz w:val="18"/>
                <w:szCs w:val="18"/>
              </w:rPr>
              <w:t xml:space="preserve"> = −7 mm chosen</w:t>
            </w:r>
          </w:p>
        </w:tc>
      </w:tr>
      <w:tr>
        <w:tc>
          <w:tcPr>
            <w:tcW w:type="dxa" w:w="3960"/>
            <w:vAlign w:val="center"/>
          </w:tcPr>
          <w:p>
            <w:pPr>
              <w:spacing w:after="0" w:line="240" w:lineRule="auto"/>
              <w:jc w:val="left"/>
            </w:pPr>
            <w:r>
              <w:rPr>
                <w:rFonts w:ascii="Times New Roman" w:hAnsi="Times New Roman" w:cs="Times New Roman"/>
                <w:sz w:val="18"/>
                <w:szCs w:val="18"/>
              </w:rPr>
              <w:t>Patch size sweep (R from 4 to 15 mm)</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R = 15 mm chosen</w:t>
            </w:r>
          </w:p>
        </w:tc>
      </w:tr>
      <w:tr>
        <w:tc>
          <w:tcPr>
            <w:tcW w:type="dxa" w:w="3960"/>
            <w:vAlign w:val="center"/>
          </w:tcPr>
          <w:p>
            <w:pPr>
              <w:spacing w:after="0" w:line="240" w:lineRule="auto"/>
              <w:jc w:val="left"/>
            </w:pPr>
            <w:r>
              <w:rPr>
                <w:rFonts w:ascii="Times New Roman" w:hAnsi="Times New Roman" w:cs="Times New Roman"/>
                <w:sz w:val="18"/>
                <w:szCs w:val="18"/>
              </w:rPr>
              <w:t>Optimised antenna, S</w:t>
            </w:r>
            <w:r>
              <w:rPr>
                <w:rFonts w:ascii="Times New Roman" w:hAnsi="Times New Roman" w:cs="Times New Roman"/>
                <w:sz w:val="18"/>
                <w:szCs w:val="18"/>
                <w:vertAlign w:val="subscript"/>
              </w:rPr>
              <w:t>11</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Below −10 dB from 2.16 to 15.73 GHz</w:t>
            </w:r>
          </w:p>
        </w:tc>
      </w:tr>
      <w:tr>
        <w:tc>
          <w:tcPr>
            <w:tcW w:type="dxa" w:w="3960"/>
            <w:vAlign w:val="center"/>
          </w:tcPr>
          <w:p>
            <w:pPr>
              <w:spacing w:after="0" w:line="240" w:lineRule="auto"/>
              <w:jc w:val="left"/>
            </w:pPr>
            <w:r>
              <w:rPr>
                <w:rFonts w:ascii="Times New Roman" w:hAnsi="Times New Roman" w:cs="Times New Roman"/>
                <w:sz w:val="18"/>
                <w:szCs w:val="18"/>
              </w:rPr>
              <w:t>Metasurface design (6 × 5 double split rings)</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Placed 2 mm behind the antenna</w:t>
            </w:r>
          </w:p>
        </w:tc>
      </w:tr>
      <w:tr>
        <w:tc>
          <w:tcPr>
            <w:tcW w:type="dxa" w:w="3960"/>
            <w:vAlign w:val="center"/>
          </w:tcPr>
          <w:p>
            <w:pPr>
              <w:spacing w:after="0" w:line="240" w:lineRule="auto"/>
              <w:jc w:val="left"/>
            </w:pPr>
            <w:r>
              <w:rPr>
                <w:rFonts w:ascii="Times New Roman" w:hAnsi="Times New Roman" w:cs="Times New Roman"/>
                <w:sz w:val="18"/>
                <w:szCs w:val="18"/>
              </w:rPr>
              <w:t>Antenna + metasurface, S</w:t>
            </w:r>
            <w:r>
              <w:rPr>
                <w:rFonts w:ascii="Times New Roman" w:hAnsi="Times New Roman" w:cs="Times New Roman"/>
                <w:sz w:val="18"/>
                <w:szCs w:val="18"/>
                <w:vertAlign w:val="subscript"/>
              </w:rPr>
              <w:t>11</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Below −10 dB from about 2.0 to 18 GHz, except 3.0–3.4, 4.5–4.7 and 5.1–5.6 GHz</w:t>
            </w:r>
          </w:p>
        </w:tc>
      </w:tr>
      <w:tr>
        <w:tc>
          <w:tcPr>
            <w:tcW w:type="dxa" w:w="3960"/>
            <w:vAlign w:val="center"/>
          </w:tcPr>
          <w:p>
            <w:pPr>
              <w:spacing w:after="0" w:line="240" w:lineRule="auto"/>
              <w:jc w:val="left"/>
            </w:pPr>
            <w:r>
              <w:rPr>
                <w:rFonts w:ascii="Times New Roman" w:hAnsi="Times New Roman" w:cs="Times New Roman"/>
                <w:sz w:val="18"/>
                <w:szCs w:val="18"/>
              </w:rPr>
              <w:t>Directivity vs frequency, antenna alone</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Peak 3.7 dBi near 4 GHz</w:t>
            </w:r>
          </w:p>
        </w:tc>
      </w:tr>
      <w:tr>
        <w:tc>
          <w:tcPr>
            <w:tcW w:type="dxa" w:w="3960"/>
            <w:vAlign w:val="center"/>
          </w:tcPr>
          <w:p>
            <w:pPr>
              <w:spacing w:after="0" w:line="240" w:lineRule="auto"/>
              <w:jc w:val="left"/>
            </w:pPr>
            <w:r>
              <w:rPr>
                <w:rFonts w:ascii="Times New Roman" w:hAnsi="Times New Roman" w:cs="Times New Roman"/>
                <w:sz w:val="18"/>
                <w:szCs w:val="18"/>
              </w:rPr>
              <w:t>Directivity vs frequency, antenna + metasurface</w:t>
            </w:r>
          </w:p>
        </w:tc>
        <w:tc>
          <w:tcPr>
            <w:tcW w:type="dxa" w:w="1080"/>
            <w:vAlign w:val="center"/>
          </w:tcPr>
          <w:p>
            <w:pPr>
              <w:spacing w:after="0" w:line="240" w:lineRule="auto"/>
              <w:jc w:val="center"/>
            </w:pPr>
            <w:r>
              <w:rPr>
                <w:rFonts w:ascii="Times New Roman" w:hAnsi="Times New Roman" w:cs="Times New Roman"/>
                <w:sz w:val="18"/>
                <w:szCs w:val="18"/>
              </w:rPr>
              <w:t>Done</w:t>
            </w:r>
          </w:p>
        </w:tc>
        <w:tc>
          <w:tcPr>
            <w:tcW w:type="dxa" w:w="3600"/>
            <w:vAlign w:val="center"/>
          </w:tcPr>
          <w:p>
            <w:pPr>
              <w:spacing w:after="0" w:line="240" w:lineRule="auto"/>
              <w:jc w:val="center"/>
            </w:pPr>
            <w:r>
              <w:rPr>
                <w:rFonts w:ascii="Times New Roman" w:hAnsi="Times New Roman" w:cs="Times New Roman"/>
                <w:sz w:val="18"/>
                <w:szCs w:val="18"/>
              </w:rPr>
              <w:t>Peak 8.8 dBi; higher over 78 % of 2–6 GHz</w:t>
            </w:r>
          </w:p>
        </w:tc>
      </w:tr>
      <w:tr>
        <w:tc>
          <w:tcPr>
            <w:tcW w:type="dxa" w:w="3960"/>
            <w:vAlign w:val="center"/>
          </w:tcPr>
          <w:p>
            <w:pPr>
              <w:spacing w:after="0" w:line="240" w:lineRule="auto"/>
              <w:jc w:val="left"/>
            </w:pPr>
            <w:r>
              <w:rPr>
                <w:rFonts w:ascii="Times New Roman" w:hAnsi="Times New Roman" w:cs="Times New Roman"/>
                <w:sz w:val="18"/>
                <w:szCs w:val="18"/>
              </w:rPr>
              <w:t>Realized gain vs frequency (whole band)</w:t>
            </w:r>
          </w:p>
        </w:tc>
        <w:tc>
          <w:tcPr>
            <w:tcW w:type="dxa" w:w="1080"/>
            <w:vAlign w:val="center"/>
          </w:tcPr>
          <w:p>
            <w:pPr>
              <w:spacing w:after="0" w:line="240" w:lineRule="auto"/>
              <w:jc w:val="center"/>
            </w:pPr>
            <w:r>
              <w:rPr>
                <w:rFonts w:ascii="Times New Roman" w:hAnsi="Times New Roman" w:cs="Times New Roman"/>
                <w:sz w:val="18"/>
                <w:szCs w:val="18"/>
              </w:rPr>
              <w:t>Remaining</w:t>
            </w:r>
          </w:p>
        </w:tc>
        <w:tc>
          <w:tcPr>
            <w:tcW w:type="dxa" w:w="3600"/>
            <w:vAlign w:val="center"/>
          </w:tcPr>
          <w:p>
            <w:pPr>
              <w:spacing w:after="0" w:line="240" w:lineRule="auto"/>
              <w:jc w:val="center"/>
            </w:pPr>
            <w:r>
              <w:rPr>
                <w:rFonts w:ascii="Times New Roman" w:hAnsi="Times New Roman" w:cs="Times New Roman"/>
                <w:sz w:val="18"/>
                <w:szCs w:val="18"/>
              </w:rPr>
              <w:t>—</w:t>
            </w:r>
          </w:p>
        </w:tc>
      </w:tr>
      <w:tr>
        <w:tc>
          <w:tcPr>
            <w:tcW w:type="dxa" w:w="3960"/>
            <w:vAlign w:val="center"/>
          </w:tcPr>
          <w:p>
            <w:pPr>
              <w:spacing w:after="0" w:line="240" w:lineRule="auto"/>
              <w:jc w:val="left"/>
            </w:pPr>
            <w:r>
              <w:rPr>
                <w:rFonts w:ascii="Times New Roman" w:hAnsi="Times New Roman" w:cs="Times New Roman"/>
                <w:sz w:val="18"/>
                <w:szCs w:val="18"/>
              </w:rPr>
              <w:t>Metasurface tuning to remove the mismatch gaps</w:t>
            </w:r>
          </w:p>
        </w:tc>
        <w:tc>
          <w:tcPr>
            <w:tcW w:type="dxa" w:w="1080"/>
            <w:vAlign w:val="center"/>
          </w:tcPr>
          <w:p>
            <w:pPr>
              <w:spacing w:after="0" w:line="240" w:lineRule="auto"/>
              <w:jc w:val="center"/>
            </w:pPr>
            <w:r>
              <w:rPr>
                <w:rFonts w:ascii="Times New Roman" w:hAnsi="Times New Roman" w:cs="Times New Roman"/>
                <w:sz w:val="18"/>
                <w:szCs w:val="18"/>
              </w:rPr>
              <w:t>Remaining</w:t>
            </w:r>
          </w:p>
        </w:tc>
        <w:tc>
          <w:tcPr>
            <w:tcW w:type="dxa" w:w="3600"/>
            <w:vAlign w:val="center"/>
          </w:tcPr>
          <w:p>
            <w:pPr>
              <w:spacing w:after="0" w:line="240" w:lineRule="auto"/>
              <w:jc w:val="center"/>
            </w:pPr>
            <w:r>
              <w:rPr>
                <w:rFonts w:ascii="Times New Roman" w:hAnsi="Times New Roman" w:cs="Times New Roman"/>
                <w:sz w:val="18"/>
                <w:szCs w:val="18"/>
              </w:rPr>
              <w:t>—</w:t>
            </w:r>
          </w:p>
        </w:tc>
      </w:tr>
    </w:tbl>
    <w:p>
      <w:pPr>
        <w:spacing w:after="40" w:line="80" w:lineRule="exact"/>
      </w:pPr>
    </w:p>
    <w:p>
      <w:pPr>
        <w:pStyle w:val="Heading2"/>
        <w:keepNext/>
        <w:spacing w:before="70" w:after="30"/>
        <w:rPr>
          <w:rFonts w:ascii="Times New Roman" w:hAnsi="Times New Roman" w:cs="Times New Roman"/>
          <w:sz w:val="22"/>
          <w:szCs w:val="22"/>
        </w:rPr>
      </w:pPr>
      <w:r>
        <w:rPr>
          <w:rFonts w:ascii="Times New Roman" w:hAnsi="Times New Roman" w:cs="Times New Roman"/>
          <w:b/>
          <w:i/>
          <w:sz w:val="22"/>
          <w:szCs w:val="22"/>
        </w:rPr>
        <w:t>Challenges</w:t>
      </w:r>
    </w:p>
    <w:p>
      <w:pPr>
        <w:pStyle w:val="ListBullet"/>
        <w:spacing w:after="30" w:line="269" w:lineRule="auto"/>
        <w:jc w:val="both"/>
      </w:pPr>
      <w:r>
        <w:rPr>
          <w:rFonts w:ascii="Times New Roman" w:hAnsi="Times New Roman" w:cs="Times New Roman"/>
          <w:b/>
          <w:sz w:val="21"/>
          <w:szCs w:val="21"/>
        </w:rPr>
        <w:t>Long run times:</w:t>
      </w:r>
      <w:r>
        <w:rPr>
          <w:rFonts w:ascii="Times New Roman" w:hAnsi="Times New Roman" w:cs="Times New Roman"/>
          <w:sz w:val="21"/>
          <w:szCs w:val="21"/>
        </w:rPr>
        <w:t xml:space="preserve"> the sweeps and the antenna + metasurface model are slow to simulate.</w:t>
      </w:r>
    </w:p>
    <w:p>
      <w:pPr>
        <w:pStyle w:val="ListBullet"/>
        <w:spacing w:after="30" w:line="269" w:lineRule="auto"/>
        <w:jc w:val="both"/>
      </w:pPr>
      <w:r>
        <w:rPr>
          <w:rFonts w:ascii="Times New Roman" w:hAnsi="Times New Roman" w:cs="Times New Roman"/>
          <w:b/>
          <w:sz w:val="21"/>
          <w:szCs w:val="21"/>
        </w:rPr>
        <w:t>Sweep artefacts:</w:t>
      </w:r>
      <w:r>
        <w:rPr>
          <w:rFonts w:ascii="Times New Roman" w:hAnsi="Times New Roman" w:cs="Times New Roman"/>
          <w:sz w:val="21"/>
          <w:szCs w:val="21"/>
        </w:rPr>
        <w:t xml:space="preserve"> some sweep curves jump near 4.0 and 6.2 GHz, and one goes above 0 dB, which is not physical. They come from too few frequency samples, not from the mesh.</w:t>
      </w:r>
    </w:p>
    <w:p>
      <w:pPr>
        <w:pStyle w:val="ListBullet"/>
        <w:spacing w:after="30" w:line="269" w:lineRule="auto"/>
        <w:jc w:val="both"/>
      </w:pPr>
      <w:r>
        <w:rPr>
          <w:rFonts w:ascii="Times New Roman" w:hAnsi="Times New Roman" w:cs="Times New Roman"/>
          <w:b/>
          <w:sz w:val="21"/>
          <w:szCs w:val="21"/>
        </w:rPr>
        <w:t>Thin match margin:</w:t>
      </w:r>
      <w:r>
        <w:rPr>
          <w:rFonts w:ascii="Times New Roman" w:hAnsi="Times New Roman" w:cs="Times New Roman"/>
          <w:sz w:val="21"/>
          <w:szCs w:val="21"/>
        </w:rPr>
        <w:t xml:space="preserve"> the optimised antenna is only just matched near 6.45 GHz (−10.3 dB) and 12.2 GHz (−10.5 dB), so small fabrication errors could push these points above −10 dB.</w:t>
      </w:r>
    </w:p>
    <w:p>
      <w:pPr>
        <w:pStyle w:val="ListBullet"/>
        <w:spacing w:after="30" w:line="269" w:lineRule="auto"/>
        <w:jc w:val="both"/>
      </w:pPr>
      <w:r>
        <w:rPr>
          <w:rFonts w:ascii="Times New Roman" w:hAnsi="Times New Roman" w:cs="Times New Roman"/>
          <w:b/>
          <w:sz w:val="21"/>
          <w:szCs w:val="21"/>
        </w:rPr>
        <w:t>Metasurface detuning:</w:t>
      </w:r>
      <w:r>
        <w:rPr>
          <w:rFonts w:ascii="Times New Roman" w:hAnsi="Times New Roman" w:cs="Times New Roman"/>
          <w:sz w:val="21"/>
          <w:szCs w:val="21"/>
        </w:rPr>
        <w:t xml:space="preserve"> at a 2 mm gap the metasurface changes the input match (three narrow mismatch gaps between 3.0 and 5.6 GHz) and lowers the directivity in two narrow bands between 2.9 and 4.0 GHz.</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lastRenderedPageBreak/>
        <w:t>Work Plan for Next Phase</w:t>
      </w:r>
    </w:p>
    <w:p>
      <w:pPr>
        <w:keepNext/>
        <w:spacing w:after="40" w:line="269" w:lineRule="auto"/>
        <w:jc w:val="both"/>
      </w:pPr>
      <w:r>
        <w:rPr>
          <w:rFonts w:ascii="Times New Roman" w:hAnsi="Times New Roman" w:cs="Times New Roman"/>
          <w:sz w:val="21"/>
          <w:szCs w:val="21"/>
        </w:rPr>
        <w:t>The remaining Phase I work comes first:</w:t>
      </w:r>
    </w:p>
    <w:p>
      <w:pPr>
        <w:pStyle w:val="ListBullet"/>
        <w:spacing w:after="30" w:line="269" w:lineRule="auto"/>
        <w:jc w:val="both"/>
      </w:pPr>
      <w:r>
        <w:rPr>
          <w:rFonts w:ascii="Times New Roman" w:hAnsi="Times New Roman" w:cs="Times New Roman"/>
          <w:sz w:val="21"/>
          <w:szCs w:val="21"/>
        </w:rPr>
        <w:t>Plot realized gain (losses and mismatch included) vs frequency for both cases over the whole band, from 2 to 15 GHz, not only 1–6 GHz.</w:t>
      </w:r>
    </w:p>
    <w:p>
      <w:pPr>
        <w:pStyle w:val="ListBullet"/>
        <w:spacing w:after="30" w:line="269" w:lineRule="auto"/>
        <w:jc w:val="both"/>
      </w:pPr>
      <w:r>
        <w:rPr>
          <w:rFonts w:ascii="Times New Roman" w:hAnsi="Times New Roman" w:cs="Times New Roman"/>
          <w:sz w:val="21"/>
          <w:szCs w:val="21"/>
        </w:rPr>
        <w:t>Tune the metasurface (gap, ring size) and the ground position to remove the mismatch gaps and the directivity dips between 2.9 and 4.0 GHz, and re-run the sweeps with more samples.</w:t>
      </w:r>
    </w:p>
    <w:p>
      <w:pPr>
        <w:keepNext/>
        <w:spacing w:after="40" w:line="269" w:lineRule="auto"/>
        <w:jc w:val="both"/>
      </w:pPr>
      <w:r>
        <w:rPr>
          <w:rFonts w:ascii="Times New Roman" w:hAnsi="Times New Roman" w:cs="Times New Roman"/>
          <w:sz w:val="21"/>
          <w:szCs w:val="21"/>
        </w:rPr>
        <w:t>Phase II will then cover the MIMO antenna and the hardware:</w:t>
      </w:r>
    </w:p>
    <w:p>
      <w:pPr>
        <w:pStyle w:val="ListBullet"/>
        <w:spacing w:after="30" w:line="269" w:lineRule="auto"/>
        <w:jc w:val="both"/>
      </w:pPr>
      <w:r>
        <w:rPr>
          <w:rFonts w:ascii="Times New Roman" w:hAnsi="Times New Roman" w:cs="Times New Roman"/>
          <w:sz w:val="21"/>
          <w:szCs w:val="21"/>
        </w:rPr>
        <w:t>Build a 4-port MIMO antenna from four copies, each rotated by 90°, backed by the metasurface.</w:t>
      </w:r>
    </w:p>
    <w:p>
      <w:pPr>
        <w:pStyle w:val="ListBullet"/>
        <w:spacing w:after="30" w:line="269" w:lineRule="auto"/>
        <w:jc w:val="both"/>
      </w:pPr>
      <w:r>
        <w:rPr>
          <w:rFonts w:ascii="Times New Roman" w:hAnsi="Times New Roman" w:cs="Times New Roman"/>
          <w:sz w:val="21"/>
          <w:szCs w:val="21"/>
        </w:rPr>
        <w:t>Check the isolation between ports and the envelope correlation coefficient (ECC).</w:t>
      </w:r>
    </w:p>
    <w:p>
      <w:pPr>
        <w:pStyle w:val="ListBullet"/>
        <w:spacing w:after="30" w:line="269" w:lineRule="auto"/>
        <w:jc w:val="both"/>
      </w:pPr>
      <w:r>
        <w:rPr>
          <w:rFonts w:ascii="Times New Roman" w:hAnsi="Times New Roman" w:cs="Times New Roman"/>
          <w:sz w:val="21"/>
          <w:szCs w:val="21"/>
        </w:rPr>
        <w:t>Fabricate the antenna and the metasurface on FR-4, and measure them with a vector network analyser (VNA) and in an anechoic chamber.</w:t>
      </w:r>
    </w:p>
    <w:p w:rsidR="00B362F6" w:rsidRPr="000E5FC4" w:rsidRDefault="00B362F6" w:rsidP="00B362F6">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t>Expected Outcomes</w:t>
      </w:r>
    </w:p>
    <w:p>
      <w:pPr>
        <w:pStyle w:val="ListBullet"/>
        <w:spacing w:after="30" w:line="269" w:lineRule="auto"/>
        <w:jc w:val="both"/>
      </w:pPr>
      <w:r>
        <w:rPr>
          <w:rFonts w:ascii="Times New Roman" w:hAnsi="Times New Roman" w:cs="Times New Roman"/>
          <w:sz w:val="21"/>
          <w:szCs w:val="21"/>
        </w:rPr>
        <w:t>A simulated CPW-fed wideband antenna covering about 2.2–15 GHz, with realized gain vs frequency plots with and without the metasurface.</w:t>
      </w:r>
    </w:p>
    <w:p>
      <w:pPr>
        <w:pStyle w:val="ListBullet"/>
        <w:spacing w:after="30" w:line="269" w:lineRule="auto"/>
        <w:jc w:val="both"/>
      </w:pPr>
      <w:r>
        <w:rPr>
          <w:rFonts w:ascii="Times New Roman" w:hAnsi="Times New Roman" w:cs="Times New Roman"/>
          <w:sz w:val="21"/>
          <w:szCs w:val="21"/>
        </w:rPr>
        <w:t>A tuned split-ring metasurface 2 mm behind the antenna that keeps it matched across the band. The peak directivity already rises from 3.7 to 8.8 dBi; realized gain will confirm the increase.</w:t>
      </w:r>
    </w:p>
    <w:p>
      <w:pPr>
        <w:pStyle w:val="ListBullet"/>
        <w:spacing w:after="30" w:line="269" w:lineRule="auto"/>
        <w:jc w:val="both"/>
      </w:pPr>
      <w:r>
        <w:rPr>
          <w:rFonts w:ascii="Times New Roman" w:hAnsi="Times New Roman" w:cs="Times New Roman"/>
          <w:sz w:val="21"/>
          <w:szCs w:val="21"/>
        </w:rPr>
        <w:t>A 4-port MIMO version of the antenna with the metasurface, checked for isolation and ECC.</w:t>
      </w:r>
    </w:p>
    <w:p>
      <w:pPr>
        <w:pStyle w:val="ListBullet"/>
        <w:spacing w:after="30" w:line="269" w:lineRule="auto"/>
        <w:jc w:val="both"/>
      </w:pPr>
      <w:r>
        <w:rPr>
          <w:rFonts w:ascii="Times New Roman" w:hAnsi="Times New Roman" w:cs="Times New Roman"/>
          <w:sz w:val="21"/>
          <w:szCs w:val="21"/>
        </w:rPr>
        <w:t>A fabricated prototype whose measured S-parameters and radiation patterns are compared with simulation.</w:t>
      </w:r>
    </w:p>
    <w:p w:rsidR="00AD6F9A" w:rsidRPr="000E5FC4" w:rsidRDefault="001F4042">
      <w:pPr>
        <w:pStyle w:val="Heading1"/>
        <w:pageBreakBefore w:val="0"/>
        <w:spacing w:before="200"/>
        <w:rPr>
          <w:rFonts w:ascii="Times New Roman" w:hAnsi="Times New Roman" w:cs="Times New Roman"/>
          <w:sz w:val="24"/>
          <w:szCs w:val="24"/>
        </w:rPr>
      </w:pPr>
      <w:r w:rsidRPr="000E5FC4">
        <w:rPr>
          <w:rFonts w:ascii="Times New Roman" w:hAnsi="Times New Roman" w:cs="Times New Roman"/>
          <w:sz w:val="24"/>
          <w:szCs w:val="24"/>
        </w:rPr>
        <w:t>References</w:t>
      </w:r>
    </w:p>
    <w:p>
      <w:pPr>
        <w:tabs>
          <w:tab w:pos="504" w:val="left"/>
        </w:tabs>
        <w:spacing w:after="30" w:line="240" w:lineRule="auto"/>
        <w:ind w:left="504" w:hanging="504"/>
        <w:jc w:val="both"/>
      </w:pPr>
      <w:r>
        <w:rPr>
          <w:rFonts w:ascii="Times New Roman" w:hAnsi="Times New Roman" w:cs="Times New Roman"/>
          <w:sz w:val="17"/>
          <w:szCs w:val="17"/>
        </w:rPr>
        <w:t>[1]</w:t>
        <w:tab/>
        <w:t xml:space="preserve">G. J. Foschini and M. J. Gans, “On limits of wireless communications in a fading environment when using multiple antennas,” </w:t>
      </w:r>
      <w:r>
        <w:rPr>
          <w:rFonts w:ascii="Times New Roman" w:hAnsi="Times New Roman" w:cs="Times New Roman"/>
          <w:i/>
          <w:sz w:val="17"/>
          <w:szCs w:val="17"/>
        </w:rPr>
        <w:t>Wireless Pers. Commun.</w:t>
      </w:r>
      <w:r>
        <w:rPr>
          <w:rFonts w:ascii="Times New Roman" w:hAnsi="Times New Roman" w:cs="Times New Roman"/>
          <w:sz w:val="17"/>
          <w:szCs w:val="17"/>
        </w:rPr>
        <w:t>, vol. 6, no. 3, pp. 311–335, Mar. 1998, doi: 10.1023/A:1008889222784.</w:t>
      </w:r>
    </w:p>
    <w:p>
      <w:pPr>
        <w:tabs>
          <w:tab w:pos="504" w:val="left"/>
        </w:tabs>
        <w:spacing w:after="30" w:line="240" w:lineRule="auto"/>
        <w:ind w:left="504" w:hanging="504"/>
        <w:jc w:val="both"/>
      </w:pPr>
      <w:r>
        <w:rPr>
          <w:rFonts w:ascii="Times New Roman" w:hAnsi="Times New Roman" w:cs="Times New Roman"/>
          <w:sz w:val="17"/>
          <w:szCs w:val="17"/>
        </w:rPr>
        <w:t>[2]</w:t>
        <w:tab/>
        <w:t xml:space="preserve">E. Telatar, “Capacity of multi-antenna Gaussian channels,” </w:t>
      </w:r>
      <w:r>
        <w:rPr>
          <w:rFonts w:ascii="Times New Roman" w:hAnsi="Times New Roman" w:cs="Times New Roman"/>
          <w:i/>
          <w:sz w:val="17"/>
          <w:szCs w:val="17"/>
        </w:rPr>
        <w:t>Eur. Trans. Telecommun.</w:t>
      </w:r>
      <w:r>
        <w:rPr>
          <w:rFonts w:ascii="Times New Roman" w:hAnsi="Times New Roman" w:cs="Times New Roman"/>
          <w:sz w:val="17"/>
          <w:szCs w:val="17"/>
        </w:rPr>
        <w:t>, vol. 10, no. 6, pp. 585–595, Nov./Dec. 1999, doi: 10.1002/ett.4460100604.</w:t>
      </w:r>
    </w:p>
    <w:p>
      <w:pPr>
        <w:tabs>
          <w:tab w:pos="504" w:val="left"/>
        </w:tabs>
        <w:spacing w:after="30" w:line="240" w:lineRule="auto"/>
        <w:ind w:left="504" w:hanging="504"/>
        <w:jc w:val="both"/>
      </w:pPr>
      <w:r>
        <w:rPr>
          <w:rFonts w:ascii="Times New Roman" w:hAnsi="Times New Roman" w:cs="Times New Roman"/>
          <w:sz w:val="17"/>
          <w:szCs w:val="17"/>
        </w:rPr>
        <w:t>[3]</w:t>
        <w:tab/>
        <w:t xml:space="preserve">M. S. Sharawi, “Printed multi-band MIMO antenna systems and their performance metrics,” </w:t>
      </w:r>
      <w:r>
        <w:rPr>
          <w:rFonts w:ascii="Times New Roman" w:hAnsi="Times New Roman" w:cs="Times New Roman"/>
          <w:i/>
          <w:sz w:val="17"/>
          <w:szCs w:val="17"/>
        </w:rPr>
        <w:t>IEEE Antennas Propag. Mag.</w:t>
      </w:r>
      <w:r>
        <w:rPr>
          <w:rFonts w:ascii="Times New Roman" w:hAnsi="Times New Roman" w:cs="Times New Roman"/>
          <w:sz w:val="17"/>
          <w:szCs w:val="17"/>
        </w:rPr>
        <w:t>, vol. 55, no. 5, pp. 218–232, Oct. 2013, doi: 10.1109/MAP.2013.6735522.</w:t>
      </w:r>
    </w:p>
    <w:p>
      <w:pPr>
        <w:tabs>
          <w:tab w:pos="504" w:val="left"/>
        </w:tabs>
        <w:spacing w:after="30" w:line="240" w:lineRule="auto"/>
        <w:ind w:left="504" w:hanging="504"/>
        <w:jc w:val="both"/>
      </w:pPr>
      <w:r>
        <w:rPr>
          <w:rFonts w:ascii="Times New Roman" w:hAnsi="Times New Roman" w:cs="Times New Roman"/>
          <w:sz w:val="17"/>
          <w:szCs w:val="17"/>
        </w:rPr>
        <w:t>[4]</w:t>
        <w:tab/>
        <w:t xml:space="preserve">N. P. Agrawall, G. Kumar, and K. P. Ray, “Wide-band planar monopole antennas,” </w:t>
      </w:r>
      <w:r>
        <w:rPr>
          <w:rFonts w:ascii="Times New Roman" w:hAnsi="Times New Roman" w:cs="Times New Roman"/>
          <w:i/>
          <w:sz w:val="17"/>
          <w:szCs w:val="17"/>
        </w:rPr>
        <w:t>IEEE Trans. Antennas Propag.</w:t>
      </w:r>
      <w:r>
        <w:rPr>
          <w:rFonts w:ascii="Times New Roman" w:hAnsi="Times New Roman" w:cs="Times New Roman"/>
          <w:sz w:val="17"/>
          <w:szCs w:val="17"/>
        </w:rPr>
        <w:t>, vol. 46, no. 2, pp. 294–295, Feb. 1998, doi: 10.1109/8.660976.</w:t>
      </w:r>
    </w:p>
    <w:p>
      <w:pPr>
        <w:tabs>
          <w:tab w:pos="504" w:val="left"/>
        </w:tabs>
        <w:spacing w:after="30" w:line="240" w:lineRule="auto"/>
        <w:ind w:left="504" w:hanging="504"/>
        <w:jc w:val="both"/>
      </w:pPr>
      <w:r>
        <w:rPr>
          <w:rFonts w:ascii="Times New Roman" w:hAnsi="Times New Roman" w:cs="Times New Roman"/>
          <w:sz w:val="17"/>
          <w:szCs w:val="17"/>
        </w:rPr>
        <w:t>[5]</w:t>
        <w:tab/>
        <w:t xml:space="preserve">K. P. Ray, “Design aspects of printed monopole antennas for ultra-wide band applications,” </w:t>
      </w:r>
      <w:r>
        <w:rPr>
          <w:rFonts w:ascii="Times New Roman" w:hAnsi="Times New Roman" w:cs="Times New Roman"/>
          <w:i/>
          <w:sz w:val="17"/>
          <w:szCs w:val="17"/>
        </w:rPr>
        <w:t>Int. J. Antennas Propag.</w:t>
      </w:r>
      <w:r>
        <w:rPr>
          <w:rFonts w:ascii="Times New Roman" w:hAnsi="Times New Roman" w:cs="Times New Roman"/>
          <w:sz w:val="17"/>
          <w:szCs w:val="17"/>
        </w:rPr>
        <w:t>, vol. 2008, Art. no. 713858, 2008, doi: 10.1155/2008/713858.</w:t>
      </w:r>
    </w:p>
    <w:p>
      <w:pPr>
        <w:tabs>
          <w:tab w:pos="504" w:val="left"/>
        </w:tabs>
        <w:spacing w:after="30" w:line="240" w:lineRule="auto"/>
        <w:ind w:left="504" w:hanging="504"/>
        <w:jc w:val="both"/>
      </w:pPr>
      <w:r>
        <w:rPr>
          <w:rFonts w:ascii="Times New Roman" w:hAnsi="Times New Roman" w:cs="Times New Roman"/>
          <w:sz w:val="17"/>
          <w:szCs w:val="17"/>
        </w:rPr>
        <w:t>[6]</w:t>
        <w:tab/>
        <w:t xml:space="preserve">R. N. Simons, </w:t>
      </w:r>
      <w:r>
        <w:rPr>
          <w:rFonts w:ascii="Times New Roman" w:hAnsi="Times New Roman" w:cs="Times New Roman"/>
          <w:i/>
          <w:sz w:val="17"/>
          <w:szCs w:val="17"/>
        </w:rPr>
        <w:t>Coplanar Waveguide Circuits, Components, and Systems</w:t>
      </w:r>
      <w:r>
        <w:rPr>
          <w:rFonts w:ascii="Times New Roman" w:hAnsi="Times New Roman" w:cs="Times New Roman"/>
          <w:sz w:val="17"/>
          <w:szCs w:val="17"/>
        </w:rPr>
        <w:t>. New York, NY, USA: Wiley, 2001, doi: 10.1002/0471224758.</w:t>
      </w:r>
    </w:p>
    <w:p>
      <w:pPr>
        <w:tabs>
          <w:tab w:pos="504" w:val="left"/>
        </w:tabs>
        <w:spacing w:after="30" w:line="240" w:lineRule="auto"/>
        <w:ind w:left="504" w:hanging="504"/>
        <w:jc w:val="both"/>
      </w:pPr>
      <w:r>
        <w:rPr>
          <w:rFonts w:ascii="Times New Roman" w:hAnsi="Times New Roman" w:cs="Times New Roman"/>
          <w:sz w:val="17"/>
          <w:szCs w:val="17"/>
        </w:rPr>
        <w:t>[7]</w:t>
        <w:tab/>
        <w:t xml:space="preserve">C. A. Balanis, </w:t>
      </w:r>
      <w:r>
        <w:rPr>
          <w:rFonts w:ascii="Times New Roman" w:hAnsi="Times New Roman" w:cs="Times New Roman"/>
          <w:i/>
          <w:sz w:val="17"/>
          <w:szCs w:val="17"/>
        </w:rPr>
        <w:t>Antenna Theory: Analysis and Design</w:t>
      </w:r>
      <w:r>
        <w:rPr>
          <w:rFonts w:ascii="Times New Roman" w:hAnsi="Times New Roman" w:cs="Times New Roman"/>
          <w:sz w:val="17"/>
          <w:szCs w:val="17"/>
        </w:rPr>
        <w:t>, 4th ed. Hoboken, NJ, USA: Wiley, 2016.</w:t>
      </w:r>
    </w:p>
    <w:p>
      <w:pPr>
        <w:tabs>
          <w:tab w:pos="504" w:val="left"/>
        </w:tabs>
        <w:spacing w:after="30" w:line="240" w:lineRule="auto"/>
        <w:ind w:left="504" w:hanging="504"/>
        <w:jc w:val="both"/>
      </w:pPr>
      <w:r>
        <w:rPr>
          <w:rFonts w:ascii="Times New Roman" w:hAnsi="Times New Roman" w:cs="Times New Roman"/>
          <w:sz w:val="17"/>
          <w:szCs w:val="17"/>
        </w:rPr>
        <w:t>[8]</w:t>
        <w:tab/>
        <w:t xml:space="preserve">C. L. Holloway, E. F. Kuester, J. A. Gordon, J. O’Hara, J. Booth, and D. R. Smith, “An overview of the theory and applications of metasurfaces: The two-dimensional equivalents of metamaterials,” </w:t>
      </w:r>
      <w:r>
        <w:rPr>
          <w:rFonts w:ascii="Times New Roman" w:hAnsi="Times New Roman" w:cs="Times New Roman"/>
          <w:i/>
          <w:sz w:val="17"/>
          <w:szCs w:val="17"/>
        </w:rPr>
        <w:t>IEEE Antennas Propag. Mag.</w:t>
      </w:r>
      <w:r>
        <w:rPr>
          <w:rFonts w:ascii="Times New Roman" w:hAnsi="Times New Roman" w:cs="Times New Roman"/>
          <w:sz w:val="17"/>
          <w:szCs w:val="17"/>
        </w:rPr>
        <w:t>, vol. 54, no. 2, pp. 10–35, Apr. 2012, doi: 10.1109/MAP.2012.6230714.</w:t>
      </w:r>
    </w:p>
    <w:p>
      <w:pPr>
        <w:tabs>
          <w:tab w:pos="504" w:val="left"/>
        </w:tabs>
        <w:spacing w:after="30" w:line="240" w:lineRule="auto"/>
        <w:ind w:left="504" w:hanging="504"/>
        <w:jc w:val="both"/>
      </w:pPr>
      <w:r>
        <w:rPr>
          <w:rFonts w:ascii="Times New Roman" w:hAnsi="Times New Roman" w:cs="Times New Roman"/>
          <w:sz w:val="17"/>
          <w:szCs w:val="17"/>
        </w:rPr>
        <w:t>[9]</w:t>
        <w:tab/>
        <w:t xml:space="preserve">J. B. Pendry, A. J. Holden, D. J. Robbins, and W. J. Stewart, “Magnetism from conductors and enhanced nonlinear phenomena,” </w:t>
      </w:r>
      <w:r>
        <w:rPr>
          <w:rFonts w:ascii="Times New Roman" w:hAnsi="Times New Roman" w:cs="Times New Roman"/>
          <w:i/>
          <w:sz w:val="17"/>
          <w:szCs w:val="17"/>
        </w:rPr>
        <w:t>IEEE Trans. Microw. Theory Techn.</w:t>
      </w:r>
      <w:r>
        <w:rPr>
          <w:rFonts w:ascii="Times New Roman" w:hAnsi="Times New Roman" w:cs="Times New Roman"/>
          <w:sz w:val="17"/>
          <w:szCs w:val="17"/>
        </w:rPr>
        <w:t>, vol. 47, no. 11, pp. 2075–2084, Nov. 1999, doi: 10.1109/22.798002.</w:t>
      </w:r>
    </w:p>
    <w:p>
      <w:pPr>
        <w:tabs>
          <w:tab w:pos="504" w:val="left"/>
        </w:tabs>
        <w:spacing w:after="30" w:line="240" w:lineRule="auto"/>
        <w:ind w:left="504" w:hanging="504"/>
        <w:jc w:val="both"/>
      </w:pPr>
      <w:r>
        <w:rPr>
          <w:rFonts w:ascii="Times New Roman" w:hAnsi="Times New Roman" w:cs="Times New Roman"/>
          <w:sz w:val="17"/>
          <w:szCs w:val="17"/>
        </w:rPr>
        <w:t>[10]</w:t>
        <w:tab/>
        <w:t xml:space="preserve">G. Sen, A. Banerjee, M. Kumar, and S. Das, “An ultra-wideband monopole antenna with a gain enhanced performance using a novel split-ring meta-surface reflector,” </w:t>
      </w:r>
      <w:r>
        <w:rPr>
          <w:rFonts w:ascii="Times New Roman" w:hAnsi="Times New Roman" w:cs="Times New Roman"/>
          <w:i/>
          <w:sz w:val="17"/>
          <w:szCs w:val="17"/>
        </w:rPr>
        <w:t>Microw. Opt. Technol. Lett.</w:t>
      </w:r>
      <w:r>
        <w:rPr>
          <w:rFonts w:ascii="Times New Roman" w:hAnsi="Times New Roman" w:cs="Times New Roman"/>
          <w:sz w:val="17"/>
          <w:szCs w:val="17"/>
        </w:rPr>
        <w:t>, vol. 59, no. 6, pp. 1296–1300, 2017, doi: 10.1002/mop.30527.</w:t>
      </w:r>
    </w:p>
    <w:p>
      <w:pPr>
        <w:tabs>
          <w:tab w:pos="504" w:val="left"/>
        </w:tabs>
        <w:spacing w:after="30" w:line="240" w:lineRule="auto"/>
        <w:ind w:left="504" w:hanging="504"/>
        <w:jc w:val="both"/>
      </w:pPr>
      <w:r>
        <w:rPr>
          <w:rFonts w:ascii="Times New Roman" w:hAnsi="Times New Roman" w:cs="Times New Roman"/>
          <w:sz w:val="17"/>
          <w:szCs w:val="17"/>
        </w:rPr>
        <w:t>[11]</w:t>
        <w:tab/>
        <w:t xml:space="preserve">A. J. A. Al-Gburi, I. B. M. Ibrahim, Z. Zakaria, B. H. Ahmad, N. A. B. Shairi, and M. Y. Zeain, “High gain of UWB planar antenna utilising FSS reflector for UWB applications,” </w:t>
      </w:r>
      <w:r>
        <w:rPr>
          <w:rFonts w:ascii="Times New Roman" w:hAnsi="Times New Roman" w:cs="Times New Roman"/>
          <w:i/>
          <w:sz w:val="17"/>
          <w:szCs w:val="17"/>
        </w:rPr>
        <w:t>Comput. Mater. Contin.</w:t>
      </w:r>
      <w:r>
        <w:rPr>
          <w:rFonts w:ascii="Times New Roman" w:hAnsi="Times New Roman" w:cs="Times New Roman"/>
          <w:sz w:val="17"/>
          <w:szCs w:val="17"/>
        </w:rPr>
        <w:t>, vol. 70, no. 1, pp. 1425–1436, 2022, doi: 10.32604/cmc.2022.019741.</w:t>
      </w:r>
    </w:p>
    <w:p>
      <w:pPr>
        <w:tabs>
          <w:tab w:pos="504" w:val="left"/>
        </w:tabs>
        <w:spacing w:after="30" w:line="240" w:lineRule="auto"/>
        <w:ind w:left="504" w:hanging="504"/>
        <w:jc w:val="both"/>
      </w:pPr>
      <w:r>
        <w:rPr>
          <w:rFonts w:ascii="Times New Roman" w:hAnsi="Times New Roman" w:cs="Times New Roman"/>
          <w:sz w:val="17"/>
          <w:szCs w:val="17"/>
        </w:rPr>
        <w:t>[12]</w:t>
        <w:tab/>
        <w:t xml:space="preserve">M. Hussain, M. A. Sufian, M. S. Alzaidi, S. I. Naqvi, N. Hussain, D. H. Elkamchouchi, M. F. A. Sree, and S. Y. A. Fatah, “Bandwidth and gain enhancement of a CPW antenna using frequency selective surface for UWB applications,” </w:t>
      </w:r>
      <w:r>
        <w:rPr>
          <w:rFonts w:ascii="Times New Roman" w:hAnsi="Times New Roman" w:cs="Times New Roman"/>
          <w:i/>
          <w:sz w:val="17"/>
          <w:szCs w:val="17"/>
        </w:rPr>
        <w:t>Micromachines</w:t>
      </w:r>
      <w:r>
        <w:rPr>
          <w:rFonts w:ascii="Times New Roman" w:hAnsi="Times New Roman" w:cs="Times New Roman"/>
          <w:sz w:val="17"/>
          <w:szCs w:val="17"/>
        </w:rPr>
        <w:t>, vol. 14, no. 3, Art. no. 591, Feb. 2023, doi: 10.3390/mi14030591.</w:t>
      </w:r>
    </w:p>
    <w:p>
      <w:pPr>
        <w:tabs>
          <w:tab w:pos="504" w:val="left"/>
        </w:tabs>
        <w:spacing w:after="30" w:line="240" w:lineRule="auto"/>
        <w:ind w:left="504" w:hanging="504"/>
        <w:jc w:val="both"/>
      </w:pPr>
      <w:r>
        <w:rPr>
          <w:rFonts w:ascii="Times New Roman" w:hAnsi="Times New Roman" w:cs="Times New Roman"/>
          <w:sz w:val="17"/>
          <w:szCs w:val="17"/>
        </w:rPr>
        <w:t>[13]</w:t>
        <w:tab/>
        <w:t xml:space="preserve">B. Hammache, I. Messaoudene, M. Belazzoug, S. Titouni, A. Messai, and T. A. Denidni, “Gain enhancement of compact CPW-fed ultra-wideband antenna using an FSS reflector,” </w:t>
      </w:r>
      <w:r>
        <w:rPr>
          <w:rFonts w:ascii="Times New Roman" w:hAnsi="Times New Roman" w:cs="Times New Roman"/>
          <w:i/>
          <w:sz w:val="17"/>
          <w:szCs w:val="17"/>
        </w:rPr>
        <w:t>Microw. Opt. Technol. Lett.</w:t>
      </w:r>
      <w:r>
        <w:rPr>
          <w:rFonts w:ascii="Times New Roman" w:hAnsi="Times New Roman" w:cs="Times New Roman"/>
          <w:sz w:val="17"/>
          <w:szCs w:val="17"/>
        </w:rPr>
        <w:t>, vol. 66, no. 10, Art. no. e34344, 2024, doi: 10.1002/mop.34344.</w:t>
      </w:r>
    </w:p>
    <w:p>
      <w:pPr>
        <w:tabs>
          <w:tab w:pos="504" w:val="left"/>
        </w:tabs>
        <w:spacing w:after="30" w:line="240" w:lineRule="auto"/>
        <w:ind w:left="504" w:hanging="504"/>
        <w:jc w:val="both"/>
      </w:pPr>
      <w:r>
        <w:rPr>
          <w:rFonts w:ascii="Times New Roman" w:hAnsi="Times New Roman" w:cs="Times New Roman"/>
          <w:sz w:val="17"/>
          <w:szCs w:val="17"/>
        </w:rPr>
        <w:t>[14]</w:t>
        <w:tab/>
        <w:t xml:space="preserve">M. M. Hasan, M. T. Islam, M. Samsuzzaman, M. H. Baharuddin, M. S. Soliman, A. Alzamil, I. I. M. Abu Sulayman, and M. S. Islam, “Gain and isolation enhancement of a wideband MIMO antenna using metasurface for 5G sub-6 GHz communication systems,” </w:t>
      </w:r>
      <w:r>
        <w:rPr>
          <w:rFonts w:ascii="Times New Roman" w:hAnsi="Times New Roman" w:cs="Times New Roman"/>
          <w:i/>
          <w:sz w:val="17"/>
          <w:szCs w:val="17"/>
        </w:rPr>
        <w:t>Sci. Rep.</w:t>
      </w:r>
      <w:r>
        <w:rPr>
          <w:rFonts w:ascii="Times New Roman" w:hAnsi="Times New Roman" w:cs="Times New Roman"/>
          <w:sz w:val="17"/>
          <w:szCs w:val="17"/>
        </w:rPr>
        <w:t>, vol. 12, Art. no. 9433, 2022, doi: 10.1038/s41598-022-13522-5.</w:t>
      </w:r>
    </w:p>
    <w:p>
      <w:pPr>
        <w:tabs>
          <w:tab w:pos="504" w:val="left"/>
        </w:tabs>
        <w:spacing w:after="30" w:line="240" w:lineRule="auto"/>
        <w:ind w:left="504" w:hanging="504"/>
        <w:jc w:val="both"/>
      </w:pPr>
      <w:r>
        <w:rPr>
          <w:rFonts w:ascii="Times New Roman" w:hAnsi="Times New Roman" w:cs="Times New Roman"/>
          <w:sz w:val="17"/>
          <w:szCs w:val="17"/>
        </w:rPr>
        <w:t>[15]</w:t>
        <w:tab/>
        <w:t xml:space="preserve">R. Wu, J. Dong, and M. Wang, “Wearable polarization conversion metasurface MIMO antenna for biomedical applications in 5 GHz WBAN,” </w:t>
      </w:r>
      <w:r>
        <w:rPr>
          <w:rFonts w:ascii="Times New Roman" w:hAnsi="Times New Roman" w:cs="Times New Roman"/>
          <w:i/>
          <w:sz w:val="17"/>
          <w:szCs w:val="17"/>
        </w:rPr>
        <w:t>Biosensors</w:t>
      </w:r>
      <w:r>
        <w:rPr>
          <w:rFonts w:ascii="Times New Roman" w:hAnsi="Times New Roman" w:cs="Times New Roman"/>
          <w:sz w:val="17"/>
          <w:szCs w:val="17"/>
        </w:rPr>
        <w:t>, vol. 13, no. 1, Art. no. 73, 2023, doi: 10.3390/bios13010073.</w:t>
      </w:r>
    </w:p>
    <w:sectPr w:rsidR="00AD6F9A" w:rsidRPr="000E5FC4" w:rsidSect="00034616">
      <w:footerReference w:type="default" r:id="rId21"/>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5FC4"/>
    <w:rsid w:val="0015074B"/>
    <w:rsid w:val="001F4042"/>
    <w:rsid w:val="0029639D"/>
    <w:rsid w:val="00326F90"/>
    <w:rsid w:val="00AA1D8D"/>
    <w:rsid w:val="00AD6F9A"/>
    <w:rsid w:val="00AF57E0"/>
    <w:rsid w:val="00B362F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13FEA49-9662-4C7E-B546-7927259A4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5A02D-ACB0-43B1-8B65-FD76B5ECC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6</Pages>
  <Words>96</Words>
  <Characters>634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Wideband MIMO Antenna with Metasurface: Mid-Semester Report</dc:title>
  <dc:subject/>
  <dc:creator>Chanswarang Boro, Nishit Baishya, Anushka Dam, Sanjana</dc:creator>
  <cp:keywords/>
  <dc:description>generated by python-docx</dc:description>
  <cp:lastModifiedBy>Chanswarang Boro, Nishit Baishya, Anushka Dam, Sanjana</cp:lastModifiedBy>
  <cp:revision>5</cp:revision>
  <dcterms:created xsi:type="dcterms:W3CDTF">2013-12-23T23:15:00Z</dcterms:created>
  <dcterms:modified xsi:type="dcterms:W3CDTF">2025-09-10T10:21:00Z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53a4b2c0-cd19-4d76-8729-fe7d88b9c591</vt:lpwstr>
  </property>
</Properties>
</file>