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 PROJECT REPORT (Mid-Semester Evaluation)</w:t>
      </w:r>
    </w:p>
    <w:p w:rsidR="001F4042" w:rsidRDefault="001F4042" w:rsidP="000E5FC4">
      <w:pPr>
        <w:spacing w:after="0" w:line="240" w:lineRule="auto"/>
        <w:jc w:val="center"/>
        <w:rPr>
          <w:rFonts w:ascii="Times New Roman" w:eastAsia="Times New Roman" w:hAnsi="Times New Roman"/>
          <w:b/>
          <w:sz w:val="24"/>
        </w:rPr>
      </w:pPr>
    </w:p>
    <w:p w:rsidR="001F4042" w:rsidRDefault="001F4042" w:rsidP="000E5FC4">
      <w:pPr>
        <w:spacing w:after="0" w:line="240" w:lineRule="auto"/>
        <w:jc w:val="center"/>
        <w:rPr>
          <w:rFonts w:ascii="Times New Roman" w:eastAsia="Times New Roman" w:hAnsi="Times New Roman"/>
          <w:b/>
          <w:sz w:val="24"/>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WIDEBAND MIMO ANTENNA WITH METASURFACE</w:t>
      </w:r>
    </w:p>
    <w:p w:rsidR="000E5FC4" w:rsidRPr="00AF57E0" w:rsidRDefault="000E5FC4" w:rsidP="000E5FC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Phase I: CPW-fed UWB Antenna with a Split-Ring-Resonator Metasurface Reflector</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CHANSWARANG BORO (2314143)</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NISHIT BAISHYA (2314088)</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ANUSHKA DAM (2314115)</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SANJANA (2314060)</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DR. UJJAL CHAKRABORTY</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MR. SOVAN BHATTACHARYA (CO-GUIDE)</w:t>
      </w:r>
    </w:p>
    <w:p w:rsidR="000E5FC4" w:rsidRPr="00AF57E0" w:rsidRDefault="000E5FC4" w:rsidP="000E5FC4">
      <w:pPr>
        <w:spacing w:after="0" w:line="240" w:lineRule="auto"/>
        <w:jc w:val="center"/>
        <w:rPr>
          <w:rFonts w:ascii="Times New Roman" w:eastAsia="Times New Roman" w:hAnsi="Times New Roman"/>
          <w:b/>
          <w:sz w:val="28"/>
          <w:szCs w:val="28"/>
        </w:rPr>
      </w:pPr>
    </w:p>
    <w:p w:rsidR="001F4042" w:rsidRPr="00AF57E0" w:rsidRDefault="001F4042"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SUPERVISOR</w:t>
      </w:r>
      <w:r w:rsidR="00AF57E0">
        <w:rPr>
          <w:rFonts w:ascii="Times New Roman" w:eastAsia="Times New Roman" w:hAnsi="Times New Roman"/>
          <w:b/>
          <w:sz w:val="28"/>
          <w:szCs w:val="28"/>
        </w:rPr>
        <w:t>’S</w:t>
      </w:r>
      <w:r w:rsidRPr="00AF57E0">
        <w:rPr>
          <w:rFonts w:ascii="Times New Roman" w:eastAsia="Times New Roman" w:hAnsi="Times New Roman"/>
          <w:b/>
          <w:sz w:val="28"/>
          <w:szCs w:val="28"/>
        </w:rPr>
        <w:t xml:space="preserve"> SIGNATURE</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rsidR="000E5FC4" w:rsidRPr="00AF57E0" w:rsidRDefault="000E5FC4" w:rsidP="000E5FC4">
      <w:pPr>
        <w:spacing w:after="0" w:line="240" w:lineRule="auto"/>
        <w:jc w:val="center"/>
        <w:rPr>
          <w:rFonts w:ascii="Times New Roman" w:eastAsia="Times New Roman" w:hAnsi="Times New Roman"/>
          <w:sz w:val="28"/>
          <w:szCs w:val="28"/>
        </w:rPr>
      </w:pPr>
    </w:p>
    <w:p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pPr>
        <w:pStyle w:val="TOCHeading"/>
        <w:pageBreakBefore/>
        <w:spacing w:after="240"/>
      </w:pPr>
      <w:r>
        <w:rPr>
          <w:rFonts w:ascii="Times New Roman" w:hAnsi="Times New Roman" w:cs="Times New Roman"/>
          <w:sz w:val="28"/>
          <w:szCs w:val="28"/>
        </w:rPr>
        <w:t>Contents</w:t>
      </w:r>
    </w:p>
    <w:p>
      <w:pPr>
        <w:tabs>
          <w:tab w:pos="8640" w:val="right" w:leader="dot"/>
        </w:tabs>
        <w:spacing w:after="80"/>
        <w:ind w:left="0"/>
      </w:pPr>
      <w:r>
        <w:fldChar w:fldCharType="begin"/>
      </w:r>
      <w:r>
        <w:instrText xml:space="preserve"> TOC \o "1-2" \h \z \u </w:instrText>
      </w:r>
      <w:r>
        <w:fldChar w:fldCharType="separate"/>
      </w:r>
      <w:r>
        <w:rPr>
          <w:rFonts w:ascii="Times New Roman" w:hAnsi="Times New Roman" w:cs="Times New Roman"/>
          <w:sz w:val="24"/>
          <w:szCs w:val="24"/>
        </w:rPr>
        <w:t>Abstract</w:t>
      </w:r>
      <w:r>
        <w:rPr>
          <w:rFonts w:ascii="Times New Roman" w:hAnsi="Times New Roman" w:cs="Times New Roman"/>
          <w:sz w:val="24"/>
          <w:szCs w:val="24"/>
        </w:rPr>
        <w:tab/>
        <w:t>4</w:t>
      </w:r>
    </w:p>
    <w:p>
      <w:pPr>
        <w:tabs>
          <w:tab w:pos="8640" w:val="right" w:leader="dot"/>
        </w:tabs>
        <w:spacing w:after="80"/>
        <w:ind w:left="0"/>
      </w:pPr>
      <w:r>
        <w:rPr>
          <w:rFonts w:ascii="Times New Roman" w:hAnsi="Times New Roman" w:cs="Times New Roman"/>
          <w:sz w:val="24"/>
          <w:szCs w:val="24"/>
        </w:rPr>
        <w:t>Introduction</w:t>
      </w:r>
      <w:r>
        <w:rPr>
          <w:rFonts w:ascii="Times New Roman" w:hAnsi="Times New Roman" w:cs="Times New Roman"/>
          <w:sz w:val="24"/>
          <w:szCs w:val="24"/>
        </w:rPr>
        <w:tab/>
        <w:t>4</w:t>
      </w:r>
    </w:p>
    <w:p>
      <w:pPr>
        <w:tabs>
          <w:tab w:pos="8640" w:val="right" w:leader="dot"/>
        </w:tabs>
        <w:spacing w:after="80"/>
        <w:ind w:left="432"/>
      </w:pPr>
      <w:r>
        <w:rPr>
          <w:rFonts w:ascii="Times New Roman" w:hAnsi="Times New Roman" w:cs="Times New Roman"/>
          <w:sz w:val="24"/>
          <w:szCs w:val="24"/>
        </w:rPr>
        <w:t>Background and Motivation</w:t>
      </w:r>
      <w:r>
        <w:rPr>
          <w:rFonts w:ascii="Times New Roman" w:hAnsi="Times New Roman" w:cs="Times New Roman"/>
          <w:sz w:val="24"/>
          <w:szCs w:val="24"/>
        </w:rPr>
        <w:tab/>
        <w:t>4</w:t>
      </w:r>
    </w:p>
    <w:p>
      <w:pPr>
        <w:tabs>
          <w:tab w:pos="8640" w:val="right" w:leader="dot"/>
        </w:tabs>
        <w:spacing w:after="80"/>
        <w:ind w:left="432"/>
      </w:pPr>
      <w:r>
        <w:rPr>
          <w:rFonts w:ascii="Times New Roman" w:hAnsi="Times New Roman" w:cs="Times New Roman"/>
          <w:sz w:val="24"/>
          <w:szCs w:val="24"/>
        </w:rPr>
        <w:t>Problem Statement</w:t>
      </w:r>
      <w:r>
        <w:rPr>
          <w:rFonts w:ascii="Times New Roman" w:hAnsi="Times New Roman" w:cs="Times New Roman"/>
          <w:sz w:val="24"/>
          <w:szCs w:val="24"/>
        </w:rPr>
        <w:tab/>
        <w:t>5</w:t>
      </w:r>
    </w:p>
    <w:p>
      <w:pPr>
        <w:tabs>
          <w:tab w:pos="8640" w:val="right" w:leader="dot"/>
        </w:tabs>
        <w:spacing w:after="80"/>
        <w:ind w:left="432"/>
      </w:pPr>
      <w:r>
        <w:rPr>
          <w:rFonts w:ascii="Times New Roman" w:hAnsi="Times New Roman" w:cs="Times New Roman"/>
          <w:sz w:val="24"/>
          <w:szCs w:val="24"/>
        </w:rPr>
        <w:t>Objectives</w:t>
      </w:r>
      <w:r>
        <w:rPr>
          <w:rFonts w:ascii="Times New Roman" w:hAnsi="Times New Roman" w:cs="Times New Roman"/>
          <w:sz w:val="24"/>
          <w:szCs w:val="24"/>
        </w:rPr>
        <w:tab/>
        <w:t>5</w:t>
      </w:r>
    </w:p>
    <w:p>
      <w:pPr>
        <w:tabs>
          <w:tab w:pos="8640" w:val="right" w:leader="dot"/>
        </w:tabs>
        <w:spacing w:after="80"/>
        <w:ind w:left="432"/>
      </w:pPr>
      <w:r>
        <w:rPr>
          <w:rFonts w:ascii="Times New Roman" w:hAnsi="Times New Roman" w:cs="Times New Roman"/>
          <w:sz w:val="24"/>
          <w:szCs w:val="24"/>
        </w:rPr>
        <w:t>Organisation of the Report</w:t>
      </w:r>
      <w:r>
        <w:rPr>
          <w:rFonts w:ascii="Times New Roman" w:hAnsi="Times New Roman" w:cs="Times New Roman"/>
          <w:sz w:val="24"/>
          <w:szCs w:val="24"/>
        </w:rPr>
        <w:tab/>
        <w:t>5</w:t>
      </w:r>
    </w:p>
    <w:p>
      <w:pPr>
        <w:tabs>
          <w:tab w:pos="8640" w:val="right" w:leader="dot"/>
        </w:tabs>
        <w:spacing w:after="80"/>
        <w:ind w:left="0"/>
      </w:pPr>
      <w:r>
        <w:rPr>
          <w:rFonts w:ascii="Times New Roman" w:hAnsi="Times New Roman" w:cs="Times New Roman"/>
          <w:sz w:val="24"/>
          <w:szCs w:val="24"/>
        </w:rPr>
        <w:t>Literature Review</w:t>
      </w:r>
      <w:r>
        <w:rPr>
          <w:rFonts w:ascii="Times New Roman" w:hAnsi="Times New Roman" w:cs="Times New Roman"/>
          <w:sz w:val="24"/>
          <w:szCs w:val="24"/>
        </w:rPr>
        <w:tab/>
        <w:t>6</w:t>
      </w:r>
    </w:p>
    <w:p>
      <w:pPr>
        <w:tabs>
          <w:tab w:pos="8640" w:val="right" w:leader="dot"/>
        </w:tabs>
        <w:spacing w:after="80"/>
        <w:ind w:left="432"/>
      </w:pPr>
      <w:r>
        <w:rPr>
          <w:rFonts w:ascii="Times New Roman" w:hAnsi="Times New Roman" w:cs="Times New Roman"/>
          <w:sz w:val="24"/>
          <w:szCs w:val="24"/>
        </w:rPr>
        <w:t>Single Antennas with a Metasurface Reflector</w:t>
      </w:r>
      <w:r>
        <w:rPr>
          <w:rFonts w:ascii="Times New Roman" w:hAnsi="Times New Roman" w:cs="Times New Roman"/>
          <w:sz w:val="24"/>
          <w:szCs w:val="24"/>
        </w:rPr>
        <w:tab/>
        <w:t>6</w:t>
      </w:r>
    </w:p>
    <w:p>
      <w:pPr>
        <w:tabs>
          <w:tab w:pos="8640" w:val="right" w:leader="dot"/>
        </w:tabs>
        <w:spacing w:after="80"/>
        <w:ind w:left="432"/>
      </w:pPr>
      <w:r>
        <w:rPr>
          <w:rFonts w:ascii="Times New Roman" w:hAnsi="Times New Roman" w:cs="Times New Roman"/>
          <w:sz w:val="24"/>
          <w:szCs w:val="24"/>
        </w:rPr>
        <w:t>MIMO Antennas with Metasurfaces</w:t>
      </w:r>
      <w:r>
        <w:rPr>
          <w:rFonts w:ascii="Times New Roman" w:hAnsi="Times New Roman" w:cs="Times New Roman"/>
          <w:sz w:val="24"/>
          <w:szCs w:val="24"/>
        </w:rPr>
        <w:tab/>
        <w:t>6</w:t>
      </w:r>
    </w:p>
    <w:p>
      <w:pPr>
        <w:tabs>
          <w:tab w:pos="8640" w:val="right" w:leader="dot"/>
        </w:tabs>
        <w:spacing w:after="80"/>
        <w:ind w:left="432"/>
      </w:pPr>
      <w:r>
        <w:rPr>
          <w:rFonts w:ascii="Times New Roman" w:hAnsi="Times New Roman" w:cs="Times New Roman"/>
          <w:sz w:val="24"/>
          <w:szCs w:val="24"/>
        </w:rPr>
        <w:t>Comparison and Research Gap</w:t>
      </w:r>
      <w:r>
        <w:rPr>
          <w:rFonts w:ascii="Times New Roman" w:hAnsi="Times New Roman" w:cs="Times New Roman"/>
          <w:sz w:val="24"/>
          <w:szCs w:val="24"/>
        </w:rPr>
        <w:tab/>
        <w:t>6</w:t>
      </w:r>
    </w:p>
    <w:p>
      <w:pPr>
        <w:tabs>
          <w:tab w:pos="8640" w:val="right" w:leader="dot"/>
        </w:tabs>
        <w:spacing w:after="80"/>
        <w:ind w:left="0"/>
      </w:pPr>
      <w:r>
        <w:rPr>
          <w:rFonts w:ascii="Times New Roman" w:hAnsi="Times New Roman" w:cs="Times New Roman"/>
          <w:sz w:val="24"/>
          <w:szCs w:val="24"/>
        </w:rPr>
        <w:t>Methodology / Proposed Work</w:t>
      </w:r>
      <w:r>
        <w:rPr>
          <w:rFonts w:ascii="Times New Roman" w:hAnsi="Times New Roman" w:cs="Times New Roman"/>
          <w:sz w:val="24"/>
          <w:szCs w:val="24"/>
        </w:rPr>
        <w:tab/>
        <w:t>8</w:t>
      </w:r>
    </w:p>
    <w:p>
      <w:pPr>
        <w:tabs>
          <w:tab w:pos="8640" w:val="right" w:leader="dot"/>
        </w:tabs>
        <w:spacing w:after="80"/>
        <w:ind w:left="432"/>
      </w:pPr>
      <w:r>
        <w:rPr>
          <w:rFonts w:ascii="Times New Roman" w:hAnsi="Times New Roman" w:cs="Times New Roman"/>
          <w:sz w:val="24"/>
          <w:szCs w:val="24"/>
        </w:rPr>
        <w:t>Design Flow</w:t>
      </w:r>
      <w:r>
        <w:rPr>
          <w:rFonts w:ascii="Times New Roman" w:hAnsi="Times New Roman" w:cs="Times New Roman"/>
          <w:sz w:val="24"/>
          <w:szCs w:val="24"/>
        </w:rPr>
        <w:tab/>
        <w:t>8</w:t>
      </w:r>
    </w:p>
    <w:p>
      <w:pPr>
        <w:tabs>
          <w:tab w:pos="8640" w:val="right" w:leader="dot"/>
        </w:tabs>
        <w:spacing w:after="80"/>
        <w:ind w:left="432"/>
      </w:pPr>
      <w:r>
        <w:rPr>
          <w:rFonts w:ascii="Times New Roman" w:hAnsi="Times New Roman" w:cs="Times New Roman"/>
          <w:sz w:val="24"/>
          <w:szCs w:val="24"/>
        </w:rPr>
        <w:t>Antenna Design</w:t>
      </w:r>
      <w:r>
        <w:rPr>
          <w:rFonts w:ascii="Times New Roman" w:hAnsi="Times New Roman" w:cs="Times New Roman"/>
          <w:sz w:val="24"/>
          <w:szCs w:val="24"/>
        </w:rPr>
        <w:tab/>
        <w:t>8</w:t>
      </w:r>
    </w:p>
    <w:p>
      <w:pPr>
        <w:tabs>
          <w:tab w:pos="8640" w:val="right" w:leader="dot"/>
        </w:tabs>
        <w:spacing w:after="80"/>
        <w:ind w:left="432"/>
      </w:pPr>
      <w:r>
        <w:rPr>
          <w:rFonts w:ascii="Times New Roman" w:hAnsi="Times New Roman" w:cs="Times New Roman"/>
          <w:sz w:val="24"/>
          <w:szCs w:val="24"/>
        </w:rPr>
        <w:t>Split-Ring-Resonator Metasurface</w:t>
      </w:r>
      <w:r>
        <w:rPr>
          <w:rFonts w:ascii="Times New Roman" w:hAnsi="Times New Roman" w:cs="Times New Roman"/>
          <w:sz w:val="24"/>
          <w:szCs w:val="24"/>
        </w:rPr>
        <w:tab/>
        <w:t>9</w:t>
      </w:r>
    </w:p>
    <w:p>
      <w:pPr>
        <w:tabs>
          <w:tab w:pos="8640" w:val="right" w:leader="dot"/>
        </w:tabs>
        <w:spacing w:after="80"/>
        <w:ind w:left="432"/>
      </w:pPr>
      <w:r>
        <w:rPr>
          <w:rFonts w:ascii="Times New Roman" w:hAnsi="Times New Roman" w:cs="Times New Roman"/>
          <w:sz w:val="24"/>
          <w:szCs w:val="24"/>
        </w:rPr>
        <w:t>Antenna with the Metasurface Reflector</w:t>
      </w:r>
      <w:r>
        <w:rPr>
          <w:rFonts w:ascii="Times New Roman" w:hAnsi="Times New Roman" w:cs="Times New Roman"/>
          <w:sz w:val="24"/>
          <w:szCs w:val="24"/>
        </w:rPr>
        <w:tab/>
        <w:t>9</w:t>
      </w:r>
    </w:p>
    <w:p>
      <w:pPr>
        <w:tabs>
          <w:tab w:pos="8640" w:val="right" w:leader="dot"/>
        </w:tabs>
        <w:spacing w:after="80"/>
        <w:ind w:left="432"/>
      </w:pPr>
      <w:r>
        <w:rPr>
          <w:rFonts w:ascii="Times New Roman" w:hAnsi="Times New Roman" w:cs="Times New Roman"/>
          <w:sz w:val="24"/>
          <w:szCs w:val="24"/>
        </w:rPr>
        <w:t>Simulation Set-up</w:t>
      </w:r>
      <w:r>
        <w:rPr>
          <w:rFonts w:ascii="Times New Roman" w:hAnsi="Times New Roman" w:cs="Times New Roman"/>
          <w:sz w:val="24"/>
          <w:szCs w:val="24"/>
        </w:rPr>
        <w:tab/>
        <w:t>11</w:t>
      </w:r>
    </w:p>
    <w:p>
      <w:pPr>
        <w:tabs>
          <w:tab w:pos="8640" w:val="right" w:leader="dot"/>
        </w:tabs>
        <w:spacing w:after="80"/>
        <w:ind w:left="0"/>
      </w:pPr>
      <w:r>
        <w:rPr>
          <w:rFonts w:ascii="Times New Roman" w:hAnsi="Times New Roman" w:cs="Times New Roman"/>
          <w:sz w:val="24"/>
          <w:szCs w:val="24"/>
        </w:rPr>
        <w:t>Work Done Till Mid-Semester</w:t>
      </w:r>
      <w:r>
        <w:rPr>
          <w:rFonts w:ascii="Times New Roman" w:hAnsi="Times New Roman" w:cs="Times New Roman"/>
          <w:sz w:val="24"/>
          <w:szCs w:val="24"/>
        </w:rPr>
        <w:tab/>
        <w:t>12</w:t>
      </w:r>
    </w:p>
    <w:p>
      <w:pPr>
        <w:tabs>
          <w:tab w:pos="8640" w:val="right" w:leader="dot"/>
        </w:tabs>
        <w:spacing w:after="80"/>
        <w:ind w:left="432"/>
      </w:pPr>
      <w:r>
        <w:rPr>
          <w:rFonts w:ascii="Times New Roman" w:hAnsi="Times New Roman" w:cs="Times New Roman"/>
          <w:sz w:val="24"/>
          <w:szCs w:val="24"/>
        </w:rPr>
        <w:t>Antenna Geometry</w:t>
      </w:r>
      <w:r>
        <w:rPr>
          <w:rFonts w:ascii="Times New Roman" w:hAnsi="Times New Roman" w:cs="Times New Roman"/>
          <w:sz w:val="24"/>
          <w:szCs w:val="24"/>
        </w:rPr>
        <w:tab/>
        <w:t>12</w:t>
      </w:r>
    </w:p>
    <w:p>
      <w:pPr>
        <w:tabs>
          <w:tab w:pos="8640" w:val="right" w:leader="dot"/>
        </w:tabs>
        <w:spacing w:after="80"/>
        <w:ind w:left="432"/>
      </w:pPr>
      <w:r>
        <w:rPr>
          <w:rFonts w:ascii="Times New Roman" w:hAnsi="Times New Roman" w:cs="Times New Roman"/>
          <w:sz w:val="24"/>
          <w:szCs w:val="24"/>
        </w:rPr>
        <w:t>Parametric Study</w:t>
      </w:r>
      <w:r>
        <w:rPr>
          <w:rFonts w:ascii="Times New Roman" w:hAnsi="Times New Roman" w:cs="Times New Roman"/>
          <w:sz w:val="24"/>
          <w:szCs w:val="24"/>
        </w:rPr>
        <w:tab/>
        <w:t>12</w:t>
      </w:r>
    </w:p>
    <w:p>
      <w:pPr>
        <w:tabs>
          <w:tab w:pos="8640" w:val="right" w:leader="dot"/>
        </w:tabs>
        <w:spacing w:after="80"/>
        <w:ind w:left="432"/>
      </w:pPr>
      <w:r>
        <w:rPr>
          <w:rFonts w:ascii="Times New Roman" w:hAnsi="Times New Roman" w:cs="Times New Roman"/>
          <w:sz w:val="24"/>
          <w:szCs w:val="24"/>
        </w:rPr>
        <w:t>Optimised Antenna</w:t>
      </w:r>
      <w:r>
        <w:rPr>
          <w:rFonts w:ascii="Times New Roman" w:hAnsi="Times New Roman" w:cs="Times New Roman"/>
          <w:sz w:val="24"/>
          <w:szCs w:val="24"/>
        </w:rPr>
        <w:tab/>
        <w:t>13</w:t>
      </w:r>
    </w:p>
    <w:p>
      <w:pPr>
        <w:tabs>
          <w:tab w:pos="8640" w:val="right" w:leader="dot"/>
        </w:tabs>
        <w:spacing w:after="80"/>
        <w:ind w:left="432"/>
      </w:pPr>
      <w:r>
        <w:rPr>
          <w:rFonts w:ascii="Times New Roman" w:hAnsi="Times New Roman" w:cs="Times New Roman"/>
          <w:sz w:val="24"/>
          <w:szCs w:val="24"/>
        </w:rPr>
        <w:t>Metasurface Unit Cell</w:t>
      </w:r>
      <w:r>
        <w:rPr>
          <w:rFonts w:ascii="Times New Roman" w:hAnsi="Times New Roman" w:cs="Times New Roman"/>
          <w:sz w:val="24"/>
          <w:szCs w:val="24"/>
        </w:rPr>
        <w:tab/>
        <w:t>15</w:t>
      </w:r>
    </w:p>
    <w:p>
      <w:pPr>
        <w:tabs>
          <w:tab w:pos="8640" w:val="right" w:leader="dot"/>
        </w:tabs>
        <w:spacing w:after="80"/>
        <w:ind w:left="432"/>
      </w:pPr>
      <w:r>
        <w:rPr>
          <w:rFonts w:ascii="Times New Roman" w:hAnsi="Times New Roman" w:cs="Times New Roman"/>
          <w:sz w:val="24"/>
          <w:szCs w:val="24"/>
        </w:rPr>
        <w:t>Antenna with the Metasurface</w:t>
      </w:r>
      <w:r>
        <w:rPr>
          <w:rFonts w:ascii="Times New Roman" w:hAnsi="Times New Roman" w:cs="Times New Roman"/>
          <w:sz w:val="24"/>
          <w:szCs w:val="24"/>
        </w:rPr>
        <w:tab/>
        <w:t>15</w:t>
      </w:r>
    </w:p>
    <w:p>
      <w:pPr>
        <w:tabs>
          <w:tab w:pos="8640" w:val="right" w:leader="dot"/>
        </w:tabs>
        <w:spacing w:after="80"/>
        <w:ind w:left="432"/>
      </w:pPr>
      <w:r>
        <w:rPr>
          <w:rFonts w:ascii="Times New Roman" w:hAnsi="Times New Roman" w:cs="Times New Roman"/>
          <w:sz w:val="24"/>
          <w:szCs w:val="24"/>
        </w:rPr>
        <w:t>Challenges</w:t>
      </w:r>
      <w:r>
        <w:rPr>
          <w:rFonts w:ascii="Times New Roman" w:hAnsi="Times New Roman" w:cs="Times New Roman"/>
          <w:sz w:val="24"/>
          <w:szCs w:val="24"/>
        </w:rPr>
        <w:tab/>
        <w:t>15</w:t>
      </w:r>
    </w:p>
    <w:p>
      <w:pPr>
        <w:tabs>
          <w:tab w:pos="8640" w:val="right" w:leader="dot"/>
        </w:tabs>
        <w:spacing w:after="80"/>
        <w:ind w:left="0"/>
      </w:pPr>
      <w:r>
        <w:rPr>
          <w:rFonts w:ascii="Times New Roman" w:hAnsi="Times New Roman" w:cs="Times New Roman"/>
          <w:sz w:val="24"/>
          <w:szCs w:val="24"/>
        </w:rPr>
        <w:t>Work Plan for Next Phase</w:t>
      </w:r>
      <w:r>
        <w:rPr>
          <w:rFonts w:ascii="Times New Roman" w:hAnsi="Times New Roman" w:cs="Times New Roman"/>
          <w:sz w:val="24"/>
          <w:szCs w:val="24"/>
        </w:rPr>
        <w:tab/>
        <w:t>17</w:t>
      </w:r>
    </w:p>
    <w:p>
      <w:pPr>
        <w:tabs>
          <w:tab w:pos="8640" w:val="right" w:leader="dot"/>
        </w:tabs>
        <w:spacing w:after="80"/>
        <w:ind w:left="432"/>
      </w:pPr>
      <w:r>
        <w:rPr>
          <w:rFonts w:ascii="Times New Roman" w:hAnsi="Times New Roman" w:cs="Times New Roman"/>
          <w:sz w:val="24"/>
          <w:szCs w:val="24"/>
        </w:rPr>
        <w:t>Completing Phase I</w:t>
      </w:r>
      <w:r>
        <w:rPr>
          <w:rFonts w:ascii="Times New Roman" w:hAnsi="Times New Roman" w:cs="Times New Roman"/>
          <w:sz w:val="24"/>
          <w:szCs w:val="24"/>
        </w:rPr>
        <w:tab/>
        <w:t>17</w:t>
      </w:r>
    </w:p>
    <w:p>
      <w:pPr>
        <w:tabs>
          <w:tab w:pos="8640" w:val="right" w:leader="dot"/>
        </w:tabs>
        <w:spacing w:after="80"/>
        <w:ind w:left="432"/>
      </w:pPr>
      <w:r>
        <w:rPr>
          <w:rFonts w:ascii="Times New Roman" w:hAnsi="Times New Roman" w:cs="Times New Roman"/>
          <w:sz w:val="24"/>
          <w:szCs w:val="24"/>
        </w:rPr>
        <w:t>Phase II: MIMO Antenna with Metasurface</w:t>
      </w:r>
      <w:r>
        <w:rPr>
          <w:rFonts w:ascii="Times New Roman" w:hAnsi="Times New Roman" w:cs="Times New Roman"/>
          <w:sz w:val="24"/>
          <w:szCs w:val="24"/>
        </w:rPr>
        <w:tab/>
        <w:t>17</w:t>
      </w:r>
    </w:p>
    <w:p>
      <w:pPr>
        <w:tabs>
          <w:tab w:pos="8640" w:val="right" w:leader="dot"/>
        </w:tabs>
        <w:spacing w:after="80"/>
        <w:ind w:left="432"/>
      </w:pPr>
      <w:r>
        <w:rPr>
          <w:rFonts w:ascii="Times New Roman" w:hAnsi="Times New Roman" w:cs="Times New Roman"/>
          <w:sz w:val="24"/>
          <w:szCs w:val="24"/>
        </w:rPr>
        <w:t>Fabrication and Measurement</w:t>
      </w:r>
      <w:r>
        <w:rPr>
          <w:rFonts w:ascii="Times New Roman" w:hAnsi="Times New Roman" w:cs="Times New Roman"/>
          <w:sz w:val="24"/>
          <w:szCs w:val="24"/>
        </w:rPr>
        <w:tab/>
        <w:t>17</w:t>
      </w:r>
    </w:p>
    <w:p>
      <w:pPr>
        <w:tabs>
          <w:tab w:pos="8640" w:val="right" w:leader="dot"/>
        </w:tabs>
        <w:spacing w:after="80"/>
        <w:ind w:left="432"/>
      </w:pPr>
      <w:r>
        <w:rPr>
          <w:rFonts w:ascii="Times New Roman" w:hAnsi="Times New Roman" w:cs="Times New Roman"/>
          <w:sz w:val="24"/>
          <w:szCs w:val="24"/>
        </w:rPr>
        <w:t>Timeline</w:t>
      </w:r>
      <w:r>
        <w:rPr>
          <w:rFonts w:ascii="Times New Roman" w:hAnsi="Times New Roman" w:cs="Times New Roman"/>
          <w:sz w:val="24"/>
          <w:szCs w:val="24"/>
        </w:rPr>
        <w:tab/>
        <w:t>17</w:t>
      </w:r>
    </w:p>
    <w:p>
      <w:pPr>
        <w:tabs>
          <w:tab w:pos="8640" w:val="right" w:leader="dot"/>
        </w:tabs>
        <w:spacing w:after="80"/>
        <w:ind w:left="0"/>
      </w:pPr>
      <w:r>
        <w:rPr>
          <w:rFonts w:ascii="Times New Roman" w:hAnsi="Times New Roman" w:cs="Times New Roman"/>
          <w:sz w:val="24"/>
          <w:szCs w:val="24"/>
        </w:rPr>
        <w:t>Expected Outcomes</w:t>
      </w:r>
      <w:r>
        <w:rPr>
          <w:rFonts w:ascii="Times New Roman" w:hAnsi="Times New Roman" w:cs="Times New Roman"/>
          <w:sz w:val="24"/>
          <w:szCs w:val="24"/>
        </w:rPr>
        <w:tab/>
        <w:t>18</w:t>
      </w:r>
    </w:p>
    <w:p>
      <w:pPr>
        <w:tabs>
          <w:tab w:pos="8640" w:val="right" w:leader="dot"/>
        </w:tabs>
        <w:spacing w:after="80"/>
        <w:ind w:left="0"/>
      </w:pPr>
      <w:r>
        <w:rPr>
          <w:rFonts w:ascii="Times New Roman" w:hAnsi="Times New Roman" w:cs="Times New Roman"/>
          <w:sz w:val="24"/>
          <w:szCs w:val="24"/>
        </w:rPr>
        <w:t>References</w:t>
      </w:r>
      <w:r>
        <w:rPr>
          <w:rFonts w:ascii="Times New Roman" w:hAnsi="Times New Roman" w:cs="Times New Roman"/>
          <w:sz w:val="24"/>
          <w:szCs w:val="24"/>
        </w:rPr>
        <w:tab/>
        <w:t>18</w:t>
      </w:r>
      <w:r>
        <w:fldChar w:fldCharType="end"/>
      </w:r>
    </w:p>
    <w:p>
      <w:pPr>
        <w:pStyle w:val="TOCHeading"/>
        <w:pageBreakBefore/>
        <w:spacing w:after="240"/>
      </w:pPr>
      <w:r>
        <w:rPr>
          <w:rFonts w:ascii="Times New Roman" w:hAnsi="Times New Roman" w:cs="Times New Roman"/>
          <w:sz w:val="28"/>
          <w:szCs w:val="28"/>
        </w:rPr>
        <w:t>List of Figures</w:t>
      </w:r>
    </w:p>
    <w:p>
      <w:pPr>
        <w:tabs>
          <w:tab w:pos="8640" w:val="right" w:leader="dot"/>
        </w:tabs>
        <w:spacing w:after="80"/>
        <w:ind w:left="0"/>
      </w:pPr>
      <w:r>
        <w:fldChar w:fldCharType="begin"/>
      </w:r>
      <w:r>
        <w:instrText xml:space="preserve"> TOC \h \z \c "Figure" </w:instrText>
      </w:r>
      <w:r>
        <w:fldChar w:fldCharType="separate"/>
      </w:r>
      <w:r>
        <w:rPr>
          <w:rFonts w:ascii="Times New Roman" w:hAnsi="Times New Roman" w:cs="Times New Roman"/>
          <w:sz w:val="24"/>
          <w:szCs w:val="24"/>
        </w:rPr>
        <w:t>Fig. 1. Design flow of the project; steps 1–4 are complete.</w:t>
      </w:r>
      <w:r>
        <w:rPr>
          <w:rFonts w:ascii="Times New Roman" w:hAnsi="Times New Roman" w:cs="Times New Roman"/>
          <w:sz w:val="24"/>
          <w:szCs w:val="24"/>
        </w:rPr>
        <w:tab/>
        <w:t>8</w:t>
      </w:r>
    </w:p>
    <w:p>
      <w:pPr>
        <w:tabs>
          <w:tab w:pos="8640" w:val="right" w:leader="dot"/>
        </w:tabs>
        <w:spacing w:after="80"/>
        <w:ind w:left="0"/>
      </w:pPr>
      <w:r>
        <w:rPr>
          <w:rFonts w:ascii="Times New Roman" w:hAnsi="Times New Roman" w:cs="Times New Roman"/>
          <w:sz w:val="24"/>
          <w:szCs w:val="24"/>
        </w:rPr>
        <w:t>Fig. 2. Side view of the antenna, the 3.9 mm air gap and the SRR metasurface (schematic, not to scale).</w:t>
      </w:r>
      <w:r>
        <w:rPr>
          <w:rFonts w:ascii="Times New Roman" w:hAnsi="Times New Roman" w:cs="Times New Roman"/>
          <w:sz w:val="24"/>
          <w:szCs w:val="24"/>
        </w:rPr>
        <w:tab/>
        <w:t>10</w:t>
      </w:r>
    </w:p>
    <w:p>
      <w:pPr>
        <w:tabs>
          <w:tab w:pos="8640" w:val="right" w:leader="dot"/>
        </w:tabs>
        <w:spacing w:after="80"/>
        <w:ind w:left="0"/>
      </w:pPr>
      <w:r>
        <w:rPr>
          <w:rFonts w:ascii="Times New Roman" w:hAnsi="Times New Roman" w:cs="Times New Roman"/>
          <w:sz w:val="24"/>
          <w:szCs w:val="24"/>
        </w:rPr>
        <w:t>Fig. 3. Reflection phase needed for in-phase addition at h = 3.9 mm (line) with the ±90° window (band), compared with a metal plate (computed).</w:t>
      </w:r>
      <w:r>
        <w:rPr>
          <w:rFonts w:ascii="Times New Roman" w:hAnsi="Times New Roman" w:cs="Times New Roman"/>
          <w:sz w:val="24"/>
          <w:szCs w:val="24"/>
        </w:rPr>
        <w:tab/>
        <w:t>11</w:t>
      </w:r>
    </w:p>
    <w:p>
      <w:pPr>
        <w:tabs>
          <w:tab w:pos="8640" w:val="right" w:leader="dot"/>
        </w:tabs>
        <w:spacing w:after="80"/>
        <w:ind w:left="0"/>
      </w:pPr>
      <w:r>
        <w:rPr>
          <w:rFonts w:ascii="Times New Roman" w:hAnsi="Times New Roman" w:cs="Times New Roman"/>
          <w:sz w:val="24"/>
          <w:szCs w:val="24"/>
        </w:rPr>
        <w:t>Fig. 4. Geometry of the CPW-fed antenna (CST model).</w:t>
      </w:r>
      <w:r>
        <w:rPr>
          <w:rFonts w:ascii="Times New Roman" w:hAnsi="Times New Roman" w:cs="Times New Roman"/>
          <w:sz w:val="24"/>
          <w:szCs w:val="24"/>
        </w:rPr>
        <w:tab/>
        <w:t>12</w:t>
      </w:r>
    </w:p>
    <w:p>
      <w:pPr>
        <w:tabs>
          <w:tab w:pos="8640" w:val="right" w:leader="dot"/>
        </w:tabs>
        <w:spacing w:after="80"/>
        <w:ind w:left="0"/>
      </w:pPr>
      <w:r>
        <w:rPr>
          <w:rFonts w:ascii="Times New Roman" w:hAnsi="Times New Roman" w:cs="Times New Roman"/>
          <w:sz w:val="24"/>
          <w:szCs w:val="24"/>
        </w:rPr>
        <w:t>Fig. 5. |S</w:t>
      </w:r>
      <w:r>
        <w:rPr>
          <w:rFonts w:ascii="Times New Roman" w:hAnsi="Times New Roman" w:cs="Times New Roman"/>
          <w:sz w:val="24"/>
          <w:szCs w:val="24"/>
          <w:vertAlign w:val="subscript"/>
        </w:rPr>
        <w:t>11</w:t>
      </w:r>
      <w:r>
        <w:rPr>
          <w:rFonts w:ascii="Times New Roman" w:hAnsi="Times New Roman" w:cs="Times New Roman"/>
          <w:sz w:val="24"/>
          <w:szCs w:val="24"/>
        </w:rPr>
        <w:t>| for different ground-edge positions L</w:t>
      </w:r>
      <w:r>
        <w:rPr>
          <w:rFonts w:ascii="Times New Roman" w:hAnsi="Times New Roman" w:cs="Times New Roman"/>
          <w:sz w:val="24"/>
          <w:szCs w:val="24"/>
          <w:vertAlign w:val="subscript"/>
        </w:rPr>
        <w:t>g</w:t>
      </w:r>
      <w:r>
        <w:rPr>
          <w:rFonts w:ascii="Times New Roman" w:hAnsi="Times New Roman" w:cs="Times New Roman"/>
          <w:sz w:val="24"/>
          <w:szCs w:val="24"/>
        </w:rPr>
        <w:t xml:space="preserve"> (R = 15 mm); best: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w:t>
      </w:r>
      <w:r>
        <w:rPr>
          <w:rFonts w:ascii="Times New Roman" w:hAnsi="Times New Roman" w:cs="Times New Roman"/>
          <w:sz w:val="24"/>
          <w:szCs w:val="24"/>
        </w:rPr>
        <w:tab/>
        <w:t>12</w:t>
      </w:r>
    </w:p>
    <w:p>
      <w:pPr>
        <w:tabs>
          <w:tab w:pos="8640" w:val="right" w:leader="dot"/>
        </w:tabs>
        <w:spacing w:after="80"/>
        <w:ind w:left="0"/>
      </w:pPr>
      <w:r>
        <w:rPr>
          <w:rFonts w:ascii="Times New Roman" w:hAnsi="Times New Roman" w:cs="Times New Roman"/>
          <w:sz w:val="24"/>
          <w:szCs w:val="24"/>
        </w:rPr>
        <w:t>Fig. 6. |S</w:t>
      </w:r>
      <w:r>
        <w:rPr>
          <w:rFonts w:ascii="Times New Roman" w:hAnsi="Times New Roman" w:cs="Times New Roman"/>
          <w:sz w:val="24"/>
          <w:szCs w:val="24"/>
          <w:vertAlign w:val="subscript"/>
        </w:rPr>
        <w:t>11</w:t>
      </w:r>
      <w:r>
        <w:rPr>
          <w:rFonts w:ascii="Times New Roman" w:hAnsi="Times New Roman" w:cs="Times New Roman"/>
          <w:sz w:val="24"/>
          <w:szCs w:val="24"/>
        </w:rPr>
        <w:t>| for different patch radii R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 best: R = 15 mm.</w:t>
      </w:r>
      <w:r>
        <w:rPr>
          <w:rFonts w:ascii="Times New Roman" w:hAnsi="Times New Roman" w:cs="Times New Roman"/>
          <w:sz w:val="24"/>
          <w:szCs w:val="24"/>
        </w:rPr>
        <w:tab/>
        <w:t>13</w:t>
      </w:r>
    </w:p>
    <w:p>
      <w:pPr>
        <w:tabs>
          <w:tab w:pos="8640" w:val="right" w:leader="dot"/>
        </w:tabs>
        <w:spacing w:after="80"/>
        <w:ind w:left="0"/>
      </w:pPr>
      <w:r>
        <w:rPr>
          <w:rFonts w:ascii="Times New Roman" w:hAnsi="Times New Roman" w:cs="Times New Roman"/>
          <w:sz w:val="24"/>
          <w:szCs w:val="24"/>
        </w:rPr>
        <w:t>Fig. 7. |S</w:t>
      </w:r>
      <w:r>
        <w:rPr>
          <w:rFonts w:ascii="Times New Roman" w:hAnsi="Times New Roman" w:cs="Times New Roman"/>
          <w:sz w:val="24"/>
          <w:szCs w:val="24"/>
          <w:vertAlign w:val="subscript"/>
        </w:rPr>
        <w:t>11</w:t>
      </w:r>
      <w:r>
        <w:rPr>
          <w:rFonts w:ascii="Times New Roman" w:hAnsi="Times New Roman" w:cs="Times New Roman"/>
          <w:sz w:val="24"/>
          <w:szCs w:val="24"/>
        </w:rPr>
        <w:t>| of the optimised antenna: (top) resonance markers, (bottom) −10 dB band edges at 2.1615 GHz and 15.734 GHz.</w:t>
      </w:r>
      <w:r>
        <w:rPr>
          <w:rFonts w:ascii="Times New Roman" w:hAnsi="Times New Roman" w:cs="Times New Roman"/>
          <w:sz w:val="24"/>
          <w:szCs w:val="24"/>
        </w:rPr>
        <w:tab/>
        <w:t>14</w:t>
      </w:r>
    </w:p>
    <w:p>
      <w:pPr>
        <w:tabs>
          <w:tab w:pos="8640" w:val="right" w:leader="dot"/>
        </w:tabs>
        <w:spacing w:after="80"/>
        <w:ind w:left="0"/>
      </w:pPr>
      <w:r>
        <w:rPr>
          <w:rFonts w:ascii="Times New Roman" w:hAnsi="Times New Roman" w:cs="Times New Roman"/>
          <w:sz w:val="24"/>
          <w:szCs w:val="24"/>
        </w:rPr>
        <w:t>Fig. 8. Simulated IEEE gain of the optimised antenna versus frequency.</w:t>
      </w:r>
      <w:r>
        <w:rPr>
          <w:rFonts w:ascii="Times New Roman" w:hAnsi="Times New Roman" w:cs="Times New Roman"/>
          <w:sz w:val="24"/>
          <w:szCs w:val="24"/>
        </w:rPr>
        <w:tab/>
        <w:t>14</w:t>
      </w:r>
    </w:p>
    <w:p>
      <w:pPr>
        <w:tabs>
          <w:tab w:pos="8640" w:val="right" w:leader="dot"/>
        </w:tabs>
        <w:spacing w:after="80"/>
        <w:ind w:left="0"/>
      </w:pPr>
      <w:r>
        <w:rPr>
          <w:rFonts w:ascii="Times New Roman" w:hAnsi="Times New Roman" w:cs="Times New Roman"/>
          <w:sz w:val="24"/>
          <w:szCs w:val="24"/>
        </w:rPr>
        <w:t>Fig. 9. SRR unit cell: geometry and simulated reflection phase.</w:t>
      </w:r>
      <w:r>
        <w:rPr>
          <w:rFonts w:ascii="Times New Roman" w:hAnsi="Times New Roman" w:cs="Times New Roman"/>
          <w:sz w:val="24"/>
          <w:szCs w:val="24"/>
        </w:rPr>
        <w:tab/>
        <w:t>15</w:t>
      </w:r>
    </w:p>
    <w:p>
      <w:pPr>
        <w:tabs>
          <w:tab w:pos="8640" w:val="right" w:leader="dot"/>
        </w:tabs>
        <w:spacing w:after="80"/>
        <w:ind w:left="0"/>
      </w:pPr>
      <w:r>
        <w:rPr>
          <w:rFonts w:ascii="Times New Roman" w:hAnsi="Times New Roman" w:cs="Times New Roman"/>
          <w:sz w:val="24"/>
          <w:szCs w:val="24"/>
        </w:rPr>
        <w:t>Fig. 10. |S</w:t>
      </w:r>
      <w:r>
        <w:rPr>
          <w:rFonts w:ascii="Times New Roman" w:hAnsi="Times New Roman" w:cs="Times New Roman"/>
          <w:sz w:val="24"/>
          <w:szCs w:val="24"/>
          <w:vertAlign w:val="subscript"/>
        </w:rPr>
        <w:t>11</w:t>
      </w:r>
      <w:r>
        <w:rPr>
          <w:rFonts w:ascii="Times New Roman" w:hAnsi="Times New Roman" w:cs="Times New Roman"/>
          <w:sz w:val="24"/>
          <w:szCs w:val="24"/>
        </w:rPr>
        <w:t>| and gain of the antenna without and with the SRR metasurface.</w:t>
      </w:r>
      <w:r>
        <w:rPr>
          <w:rFonts w:ascii="Times New Roman" w:hAnsi="Times New Roman" w:cs="Times New Roman"/>
          <w:sz w:val="24"/>
          <w:szCs w:val="24"/>
        </w:rPr>
        <w:tab/>
        <w:t>15</w:t>
      </w:r>
      <w:r>
        <w:fldChar w:fldCharType="end"/>
      </w:r>
    </w:p>
    <w:p>
      <w:pPr>
        <w:pStyle w:val="TOCHeading"/>
        <w:pageBreakBefore w:val="0"/>
        <w:spacing w:after="240"/>
      </w:pPr>
      <w:r>
        <w:rPr>
          <w:rFonts w:ascii="Times New Roman" w:hAnsi="Times New Roman" w:cs="Times New Roman"/>
          <w:sz w:val="28"/>
          <w:szCs w:val="28"/>
        </w:rPr>
        <w:t>List of Tables</w:t>
      </w:r>
    </w:p>
    <w:p>
      <w:pPr>
        <w:tabs>
          <w:tab w:pos="8640" w:val="right" w:leader="dot"/>
        </w:tabs>
        <w:spacing w:after="80"/>
        <w:ind w:left="0"/>
      </w:pPr>
      <w:r>
        <w:fldChar w:fldCharType="begin"/>
      </w:r>
      <w:r>
        <w:instrText xml:space="preserve"> TOC \h \z \c "Table" </w:instrText>
      </w:r>
      <w:r>
        <w:fldChar w:fldCharType="separate"/>
      </w:r>
      <w:r>
        <w:rPr>
          <w:rFonts w:ascii="Times New Roman" w:hAnsi="Times New Roman" w:cs="Times New Roman"/>
          <w:sz w:val="24"/>
          <w:szCs w:val="24"/>
        </w:rPr>
        <w:t>Table 1. Single wideband antennas with a metasurface, AMC or FSS reflector.</w:t>
      </w:r>
      <w:r>
        <w:rPr>
          <w:rFonts w:ascii="Times New Roman" w:hAnsi="Times New Roman" w:cs="Times New Roman"/>
          <w:sz w:val="24"/>
          <w:szCs w:val="24"/>
        </w:rPr>
        <w:tab/>
        <w:t>6</w:t>
      </w:r>
    </w:p>
    <w:p>
      <w:pPr>
        <w:tabs>
          <w:tab w:pos="8640" w:val="right" w:leader="dot"/>
        </w:tabs>
        <w:spacing w:after="80"/>
        <w:ind w:left="0"/>
      </w:pPr>
      <w:r>
        <w:rPr>
          <w:rFonts w:ascii="Times New Roman" w:hAnsi="Times New Roman" w:cs="Times New Roman"/>
          <w:sz w:val="24"/>
          <w:szCs w:val="24"/>
        </w:rPr>
        <w:t>Table 2. MIMO antennas that use a metasurface (background for Phase II).</w:t>
      </w:r>
      <w:r>
        <w:rPr>
          <w:rFonts w:ascii="Times New Roman" w:hAnsi="Times New Roman" w:cs="Times New Roman"/>
          <w:sz w:val="24"/>
          <w:szCs w:val="24"/>
        </w:rPr>
        <w:tab/>
        <w:t>6</w:t>
      </w:r>
    </w:p>
    <w:p>
      <w:pPr>
        <w:tabs>
          <w:tab w:pos="8640" w:val="right" w:leader="dot"/>
        </w:tabs>
        <w:spacing w:after="80"/>
        <w:ind w:left="0"/>
      </w:pPr>
      <w:r>
        <w:rPr>
          <w:rFonts w:ascii="Times New Roman" w:hAnsi="Times New Roman" w:cs="Times New Roman"/>
          <w:sz w:val="24"/>
          <w:szCs w:val="24"/>
        </w:rPr>
        <w:t>Table 3. Dimensions of the optimised antenna (mm).</w:t>
      </w:r>
      <w:r>
        <w:rPr>
          <w:rFonts w:ascii="Times New Roman" w:hAnsi="Times New Roman" w:cs="Times New Roman"/>
          <w:sz w:val="24"/>
          <w:szCs w:val="24"/>
        </w:rPr>
        <w:tab/>
        <w:t>9</w:t>
      </w:r>
    </w:p>
    <w:p>
      <w:pPr>
        <w:tabs>
          <w:tab w:pos="8640" w:val="right" w:leader="dot"/>
        </w:tabs>
        <w:spacing w:after="80"/>
        <w:ind w:left="0"/>
      </w:pPr>
      <w:r>
        <w:rPr>
          <w:rFonts w:ascii="Times New Roman" w:hAnsi="Times New Roman" w:cs="Times New Roman"/>
          <w:sz w:val="24"/>
          <w:szCs w:val="24"/>
        </w:rPr>
        <w:t>Table 4. Reflection phase needed at h = 3.9 mm and the error of a metal plate (computed from equation (5)).</w:t>
      </w:r>
      <w:r>
        <w:rPr>
          <w:rFonts w:ascii="Times New Roman" w:hAnsi="Times New Roman" w:cs="Times New Roman"/>
          <w:sz w:val="24"/>
          <w:szCs w:val="24"/>
        </w:rPr>
        <w:tab/>
        <w:t>10</w:t>
      </w:r>
    </w:p>
    <w:p>
      <w:pPr>
        <w:tabs>
          <w:tab w:pos="8640" w:val="right" w:leader="dot"/>
        </w:tabs>
        <w:spacing w:after="80"/>
        <w:ind w:left="0"/>
      </w:pPr>
      <w:r>
        <w:rPr>
          <w:rFonts w:ascii="Times New Roman" w:hAnsi="Times New Roman" w:cs="Times New Roman"/>
          <w:sz w:val="24"/>
          <w:szCs w:val="24"/>
        </w:rPr>
        <w:t>Table 5. Simulated performance of the optimised antenna (no metasurface).</w:t>
      </w:r>
      <w:r>
        <w:rPr>
          <w:rFonts w:ascii="Times New Roman" w:hAnsi="Times New Roman" w:cs="Times New Roman"/>
          <w:sz w:val="24"/>
          <w:szCs w:val="24"/>
        </w:rPr>
        <w:tab/>
        <w:t>15</w:t>
      </w:r>
    </w:p>
    <w:p>
      <w:pPr>
        <w:tabs>
          <w:tab w:pos="8640" w:val="right" w:leader="dot"/>
        </w:tabs>
        <w:spacing w:after="80"/>
        <w:ind w:left="0"/>
      </w:pPr>
      <w:r>
        <w:rPr>
          <w:rFonts w:ascii="Times New Roman" w:hAnsi="Times New Roman" w:cs="Times New Roman"/>
          <w:sz w:val="24"/>
          <w:szCs w:val="24"/>
        </w:rPr>
        <w:t>Table 6. Work plan from mid-October to the end-semester evaluation (early December).</w:t>
      </w:r>
      <w:r>
        <w:rPr>
          <w:rFonts w:ascii="Times New Roman" w:hAnsi="Times New Roman" w:cs="Times New Roman"/>
          <w:sz w:val="24"/>
          <w:szCs w:val="24"/>
        </w:rPr>
        <w:tab/>
        <w:t>17</w:t>
      </w:r>
      <w:r>
        <w:fldChar w:fldCharType="end"/>
      </w:r>
    </w:p>
    <w:p w:rsidR="00AD6F9A" w:rsidRPr="000E5FC4" w:rsidRDefault="001F4042">
      <w:pPr>
        <w:pStyle w:val="Heading1"/>
        <w:pageBreakBefore/>
        <w:rPr>
          <w:rFonts w:ascii="Times New Roman" w:hAnsi="Times New Roman" w:cs="Times New Roman"/>
          <w:sz w:val="24"/>
          <w:szCs w:val="24"/>
        </w:rPr>
      </w:pPr>
      <w:r w:rsidRPr="000E5FC4">
        <w:rPr>
          <w:rFonts w:ascii="Times New Roman" w:hAnsi="Times New Roman" w:cs="Times New Roman"/>
          <w:sz w:val="24"/>
          <w:szCs w:val="24"/>
        </w:rPr>
        <w:lastRenderedPageBreak/>
        <w:t>Abstract</w:t>
      </w:r>
    </w:p>
    <w:p>
      <w:pPr>
        <w:jc w:val="both"/>
      </w:pPr>
      <w:r>
        <w:rPr>
          <w:rFonts w:ascii="Times New Roman" w:hAnsi="Times New Roman" w:cs="Times New Roman"/>
          <w:sz w:val="24"/>
          <w:szCs w:val="24"/>
        </w:rPr>
        <w:t>Ultra-wideband (UWB) radios and multiple-input multiple-output (MIMO) antennas together support high data rates over short ranges, but the printed monopoles normally used for UWB radiate on both sides of the board and therefore have low gain. This project develops a wideband MIMO antenna with a metasurface. This mid-semester report covers Phase I: a single coplanar-waveguide (CPW) fed planar monopole backed by a split-ring-resonator (SRR) metasurface.</w:t>
      </w:r>
    </w:p>
    <w:p>
      <w:pPr>
        <w:jc w:val="both"/>
      </w:pPr>
      <w:r>
        <w:rPr>
          <w:rFonts w:ascii="Times New Roman" w:hAnsi="Times New Roman" w:cs="Times New Roman"/>
          <w:sz w:val="24"/>
          <w:szCs w:val="24"/>
        </w:rPr>
        <w:t>The monopole was modelled in CST Studio Suite and optimised through two parametric sweeps: the position of the CPW ground-plane edge (L</w:t>
      </w:r>
      <w:r>
        <w:rPr>
          <w:rFonts w:ascii="Times New Roman" w:hAnsi="Times New Roman" w:cs="Times New Roman"/>
          <w:sz w:val="24"/>
          <w:szCs w:val="24"/>
          <w:vertAlign w:val="subscript"/>
        </w:rPr>
        <w:t>g</w:t>
      </w:r>
      <w:r>
        <w:rPr>
          <w:rFonts w:ascii="Times New Roman" w:hAnsi="Times New Roman" w:cs="Times New Roman"/>
          <w:sz w:val="24"/>
          <w:szCs w:val="24"/>
        </w:rPr>
        <w:t>) and the patch radius (R). The optimised antenna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 R = 15 mm) has |S</w:t>
      </w:r>
      <w:r>
        <w:rPr>
          <w:rFonts w:ascii="Times New Roman" w:hAnsi="Times New Roman" w:cs="Times New Roman"/>
          <w:sz w:val="24"/>
          <w:szCs w:val="24"/>
          <w:vertAlign w:val="subscript"/>
        </w:rPr>
        <w:t>11</w:t>
      </w:r>
      <w:r>
        <w:rPr>
          <w:rFonts w:ascii="Times New Roman" w:hAnsi="Times New Roman" w:cs="Times New Roman"/>
          <w:sz w:val="24"/>
          <w:szCs w:val="24"/>
        </w:rPr>
        <w:t>| ≤ −10 dB from 2.16 GHz to 15.73 GHz, a fractional bandwidth of 151.7 %, which covers the whole 3.1–10.6 GHz UWB band. Its simulated IEEE gain is about 2.9–4.9 dBi across that band. To redirect the backward radiation, a single-SRR metasurface is placed 3.9 mm behind the antenna across an air gap. A reflection-phase analysis shows that, at this small gap, a plain metal plate would work against the forward radiation over most of the UWB band, which is why an in-phase metasurface is needed. The characterisation of the metasurface unit cell and the simulation of the antenna with the metasurface are in progress; their results will be added before the final submission.</w:t>
      </w:r>
    </w:p>
    <w:p>
      <w:pPr>
        <w:jc w:val="both"/>
      </w:pPr>
      <w:r>
        <w:rPr>
          <w:rFonts w:ascii="Times New Roman" w:hAnsi="Times New Roman" w:cs="Times New Roman"/>
          <w:sz w:val="24"/>
          <w:szCs w:val="24"/>
        </w:rPr>
        <w:t>A review of ten recent papers on metasurface-loaded single and MIMO antennas places the work in context. Phase II will extend the design to a multi-port MIMO antenna, evaluate its isolation and diversity performance, and validate a fabricated prototype by measurement.</w:t>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Introduction</w:t>
      </w:r>
    </w:p>
    <w:p>
      <w:pPr>
        <w:pStyle w:val="Heading2"/>
        <w:rPr>
          <w:rFonts w:ascii="Times New Roman" w:hAnsi="Times New Roman" w:cs="Times New Roman"/>
          <w:sz w:val="24"/>
          <w:szCs w:val="24"/>
        </w:rPr>
      </w:pPr>
      <w:r>
        <w:rPr>
          <w:rFonts w:ascii="Times New Roman" w:hAnsi="Times New Roman" w:cs="Times New Roman"/>
          <w:i/>
          <w:sz w:val="24"/>
          <w:szCs w:val="24"/>
        </w:rPr>
        <w:t>Background and Motivation</w:t>
      </w:r>
    </w:p>
    <w:p>
      <w:pPr>
        <w:jc w:val="both"/>
      </w:pPr>
      <w:r>
        <w:rPr>
          <w:rFonts w:ascii="Times New Roman" w:hAnsi="Times New Roman" w:cs="Times New Roman"/>
          <w:sz w:val="24"/>
          <w:szCs w:val="24"/>
        </w:rPr>
        <w:t>Short-range wireless links for high-definition video, personal-area networks, imaging and sensing need data rates that narrowband radios cannot provide. Ultra-wideband (UWB) technology meets this need by spreading very low-power signals over a very wide band: in 2002 the FCC allowed unlicensed UWB operation from 3.1 to 10.6 GHz at a power spectral density of at most −41.3 dBm/MHz [1]. Multiple-input multiple-output (MIMO) techniques raise capacity further: with several antennas at each end of the link, capacity grows roughly in proportion to the number of antennas without extra bandwidth or transmit power [2], [3]. Combining the two needs several wideband antennas that are compact, well matched over the whole band and weakly coupled to each other [4].</w:t>
      </w:r>
    </w:p>
    <w:p>
      <w:pPr>
        <w:jc w:val="both"/>
      </w:pPr>
      <w:r>
        <w:rPr>
          <w:rFonts w:ascii="Times New Roman" w:hAnsi="Times New Roman" w:cs="Times New Roman"/>
          <w:sz w:val="24"/>
          <w:szCs w:val="24"/>
        </w:rPr>
        <w:t>Printed planar monopoles are the most common UWB radiators. A planar disc or polygon above a ground plane behaves like a thick cylindrical monopole, and its closely spaced resonances overlap into a very wide impedance band [5], [6]. A coplanar-waveguide (CPW) feed keeps the signal strip and the ground on the same side of the substrate, needs no vias and lets several elements share one ground later [7]. The price is gain: a printed monopole radiates almost equally into both half-spaces, so roughly half of its power leaves through the back of the board and the gain stays at a few dBi [8].</w:t>
      </w:r>
    </w:p>
    <w:p>
      <w:pPr>
        <w:jc w:val="both"/>
      </w:pPr>
      <w:r>
        <w:rPr>
          <w:rFonts w:ascii="Times New Roman" w:hAnsi="Times New Roman" w:cs="Times New Roman"/>
          <w:sz w:val="24"/>
          <w:szCs w:val="24"/>
        </w:rPr>
        <w:t>A reflector behind the antenna can turn the backward radiation forward. A metal plate, however, reflects with a 180° phase shift and must sit a quarter wavelength away (24.2 mm at 3.1 GHz) for the reflected wave to add in phase, and over a band as wide as UWB no fixed gap satisfies that. Metasurfaces, two-dimensional arrays of sub-wavelength resonant cells [9], can be designed to reflect in phase near their resonance [10], [11], so they can sit much closer to the antenna and keep the structure thin. The split-ring resonator (SRR) [12] is a compact cell whose resonance is tuned by its geometry alone.</w:t>
      </w:r>
    </w:p>
    <w:p>
      <w:pPr>
        <w:pStyle w:val="Heading2"/>
        <w:rPr>
          <w:rFonts w:ascii="Times New Roman" w:hAnsi="Times New Roman" w:cs="Times New Roman"/>
          <w:sz w:val="24"/>
          <w:szCs w:val="24"/>
        </w:rPr>
      </w:pPr>
      <w:r>
        <w:rPr>
          <w:rFonts w:ascii="Times New Roman" w:hAnsi="Times New Roman" w:cs="Times New Roman"/>
          <w:i/>
          <w:sz w:val="24"/>
          <w:szCs w:val="24"/>
        </w:rPr>
        <w:t>Problem Statement</w:t>
      </w:r>
    </w:p>
    <w:p>
      <w:pPr>
        <w:jc w:val="both"/>
      </w:pPr>
      <w:r>
        <w:rPr>
          <w:rFonts w:ascii="Times New Roman" w:hAnsi="Times New Roman" w:cs="Times New Roman"/>
          <w:sz w:val="24"/>
          <w:szCs w:val="24"/>
        </w:rPr>
        <w:t>Design a compact CPW-fed planar monopole that covers the full 3.1–10.6 GHz UWB band, and raise its gain with a split-ring-resonator metasurface placed 3.9 mm behind it across an air gap without losing the impedance bandwidth. Then extend the design to a multi-port MIMO antenna with high isolation and good diversity performance.</w:t>
      </w:r>
    </w:p>
    <w:p>
      <w:pPr>
        <w:pStyle w:val="Heading2"/>
        <w:rPr>
          <w:rFonts w:ascii="Times New Roman" w:hAnsi="Times New Roman" w:cs="Times New Roman"/>
          <w:sz w:val="24"/>
          <w:szCs w:val="24"/>
        </w:rPr>
      </w:pPr>
      <w:r>
        <w:rPr>
          <w:rFonts w:ascii="Times New Roman" w:hAnsi="Times New Roman" w:cs="Times New Roman"/>
          <w:i/>
          <w:sz w:val="24"/>
          <w:szCs w:val="24"/>
        </w:rPr>
        <w:t>Objectives</w:t>
      </w:r>
    </w:p>
    <w:p>
      <w:pPr>
        <w:pStyle w:val="ListBullet"/>
        <w:spacing w:after="60"/>
        <w:jc w:val="both"/>
      </w:pPr>
      <w:r>
        <w:rPr>
          <w:rFonts w:ascii="Times New Roman" w:hAnsi="Times New Roman" w:cs="Times New Roman"/>
          <w:b/>
          <w:sz w:val="24"/>
          <w:szCs w:val="24"/>
        </w:rPr>
        <w:t>O1 (Phase I, done):</w:t>
      </w:r>
      <w:r>
        <w:rPr>
          <w:rFonts w:ascii="Times New Roman" w:hAnsi="Times New Roman" w:cs="Times New Roman"/>
          <w:sz w:val="24"/>
          <w:szCs w:val="24"/>
        </w:rPr>
        <w:t xml:space="preserve"> design and optimise a CPW-fed planar monopole with |S</w:t>
      </w:r>
      <w:r>
        <w:rPr>
          <w:rFonts w:ascii="Times New Roman" w:hAnsi="Times New Roman" w:cs="Times New Roman"/>
          <w:sz w:val="24"/>
          <w:szCs w:val="24"/>
          <w:vertAlign w:val="subscript"/>
        </w:rPr>
        <w:t>11</w:t>
      </w:r>
      <w:r>
        <w:rPr>
          <w:rFonts w:ascii="Times New Roman" w:hAnsi="Times New Roman" w:cs="Times New Roman"/>
          <w:sz w:val="24"/>
          <w:szCs w:val="24"/>
        </w:rPr>
        <w:t>| ≤ −10 dB over at least 3.1–10.6 GHz.</w:t>
      </w:r>
    </w:p>
    <w:p>
      <w:pPr>
        <w:pStyle w:val="ListBullet"/>
        <w:spacing w:after="60"/>
        <w:jc w:val="both"/>
      </w:pPr>
      <w:r>
        <w:rPr>
          <w:rFonts w:ascii="Times New Roman" w:hAnsi="Times New Roman" w:cs="Times New Roman"/>
          <w:b/>
          <w:sz w:val="24"/>
          <w:szCs w:val="24"/>
        </w:rPr>
        <w:t>O2 (Phase I, in progress):</w:t>
      </w:r>
      <w:r>
        <w:rPr>
          <w:rFonts w:ascii="Times New Roman" w:hAnsi="Times New Roman" w:cs="Times New Roman"/>
          <w:sz w:val="24"/>
          <w:szCs w:val="24"/>
        </w:rPr>
        <w:t xml:space="preserve"> design a split-ring-resonator unit cell and characterise its reflection phase.</w:t>
      </w:r>
    </w:p>
    <w:p>
      <w:pPr>
        <w:pStyle w:val="ListBullet"/>
        <w:spacing w:after="60"/>
        <w:jc w:val="both"/>
      </w:pPr>
      <w:r>
        <w:rPr>
          <w:rFonts w:ascii="Times New Roman" w:hAnsi="Times New Roman" w:cs="Times New Roman"/>
          <w:b/>
          <w:sz w:val="24"/>
          <w:szCs w:val="24"/>
        </w:rPr>
        <w:t>O3 (Phase I, in progress):</w:t>
      </w:r>
      <w:r>
        <w:rPr>
          <w:rFonts w:ascii="Times New Roman" w:hAnsi="Times New Roman" w:cs="Times New Roman"/>
          <w:sz w:val="24"/>
          <w:szCs w:val="24"/>
        </w:rPr>
        <w:t xml:space="preserve"> place the metasurface 3.9 mm behind the antenna and quantify the change in gain, radiation pattern and matching, compared with no reflector and with a plain metal plate at the same gap.</w:t>
      </w:r>
    </w:p>
    <w:p>
      <w:pPr>
        <w:pStyle w:val="ListBullet"/>
        <w:spacing w:after="60"/>
        <w:jc w:val="both"/>
      </w:pPr>
      <w:r>
        <w:rPr>
          <w:rFonts w:ascii="Times New Roman" w:hAnsi="Times New Roman" w:cs="Times New Roman"/>
          <w:b/>
          <w:sz w:val="24"/>
          <w:szCs w:val="24"/>
        </w:rPr>
        <w:t>O4 (Phase II):</w:t>
      </w:r>
      <w:r>
        <w:rPr>
          <w:rFonts w:ascii="Times New Roman" w:hAnsi="Times New Roman" w:cs="Times New Roman"/>
          <w:sz w:val="24"/>
          <w:szCs w:val="24"/>
        </w:rPr>
        <w:t xml:space="preserve"> extend the design to a 2-/4-port MIMO antenna with the metasurface and evaluate isolation, envelope correlation coefficient (ECC), diversity gain (DG), total active reflection coefficient (TARC), channel capacity loss (CCL) and mean effective gain (MEG).</w:t>
      </w:r>
    </w:p>
    <w:p>
      <w:pPr>
        <w:pStyle w:val="ListBullet"/>
        <w:spacing w:after="60"/>
        <w:jc w:val="both"/>
      </w:pPr>
      <w:r>
        <w:rPr>
          <w:rFonts w:ascii="Times New Roman" w:hAnsi="Times New Roman" w:cs="Times New Roman"/>
          <w:b/>
          <w:sz w:val="24"/>
          <w:szCs w:val="24"/>
        </w:rPr>
        <w:t>O5 (Phase II):</w:t>
      </w:r>
      <w:r>
        <w:rPr>
          <w:rFonts w:ascii="Times New Roman" w:hAnsi="Times New Roman" w:cs="Times New Roman"/>
          <w:sz w:val="24"/>
          <w:szCs w:val="24"/>
        </w:rPr>
        <w:t xml:space="preserve"> fabricate a prototype and validate it by measurement.</w:t>
      </w:r>
    </w:p>
    <w:p>
      <w:pPr>
        <w:pStyle w:val="Heading2"/>
        <w:rPr>
          <w:rFonts w:ascii="Times New Roman" w:hAnsi="Times New Roman" w:cs="Times New Roman"/>
          <w:sz w:val="24"/>
          <w:szCs w:val="24"/>
        </w:rPr>
      </w:pPr>
      <w:r>
        <w:rPr>
          <w:rFonts w:ascii="Times New Roman" w:hAnsi="Times New Roman" w:cs="Times New Roman"/>
          <w:i/>
          <w:sz w:val="24"/>
          <w:szCs w:val="24"/>
        </w:rPr>
        <w:t>Organisation of the Report</w:t>
      </w:r>
    </w:p>
    <w:p>
      <w:pPr>
        <w:jc w:val="both"/>
      </w:pPr>
      <w:r>
        <w:rPr>
          <w:rFonts w:ascii="Times New Roman" w:hAnsi="Times New Roman" w:cs="Times New Roman"/>
          <w:sz w:val="24"/>
          <w:szCs w:val="24"/>
        </w:rPr>
        <w:t>The Literature Review summarises ten recent papers on metasurface-loaded single and MIMO antennas. Methodology describes the design flow, the governing equations and the simulation set-up. Work Done Till Mid-Semester presents the parametric study, the optimised antenna and the status of the metasurface. The Work Plan and Expected Outcomes describe the rest of the project.</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Literature Review</w:t>
      </w:r>
    </w:p>
    <w:p>
      <w:pPr>
        <w:jc w:val="both"/>
      </w:pPr>
      <w:r>
        <w:rPr>
          <w:rFonts w:ascii="Times New Roman" w:hAnsi="Times New Roman" w:cs="Times New Roman"/>
          <w:sz w:val="24"/>
          <w:szCs w:val="24"/>
        </w:rPr>
        <w:t>The review covers two groups of papers, selected as described in the separate literature-review document: (i) single wideband antennas whose gain is raised by a metasurface, artificial magnetic conductor (AMC) or frequency selective surface (FSS) reflector, which bear directly on Phase I, and (ii) MIMO antennas that use metasurfaces, which inform Phase II. Every value below was checked against the full text of each paper.</w:t>
      </w:r>
    </w:p>
    <w:p>
      <w:pPr>
        <w:pStyle w:val="Heading2"/>
        <w:rPr>
          <w:rFonts w:ascii="Times New Roman" w:hAnsi="Times New Roman" w:cs="Times New Roman"/>
          <w:sz w:val="24"/>
          <w:szCs w:val="24"/>
        </w:rPr>
      </w:pPr>
      <w:r>
        <w:rPr>
          <w:rFonts w:ascii="Times New Roman" w:hAnsi="Times New Roman" w:cs="Times New Roman"/>
          <w:i/>
          <w:sz w:val="24"/>
          <w:szCs w:val="24"/>
        </w:rPr>
        <w:t>Single Antennas with a Metasurface Reflector</w:t>
      </w:r>
    </w:p>
    <w:p>
      <w:pPr>
        <w:jc w:val="both"/>
      </w:pPr>
      <w:r>
        <w:rPr>
          <w:rFonts w:ascii="Times New Roman" w:hAnsi="Times New Roman" w:cs="Times New Roman"/>
          <w:b/>
          <w:sz w:val="24"/>
          <w:szCs w:val="24"/>
        </w:rPr>
        <w:t>Sen et al. (2017)</w:t>
      </w:r>
      <w:r>
        <w:rPr>
          <w:rFonts w:ascii="Times New Roman" w:hAnsi="Times New Roman" w:cs="Times New Roman"/>
          <w:sz w:val="24"/>
          <w:szCs w:val="24"/>
        </w:rPr>
        <w:t xml:space="preserve"> [13]: [to be completed from the full text]</w:t>
      </w:r>
    </w:p>
    <w:p>
      <w:pPr>
        <w:jc w:val="both"/>
      </w:pPr>
      <w:r>
        <w:rPr>
          <w:rFonts w:ascii="Times New Roman" w:hAnsi="Times New Roman" w:cs="Times New Roman"/>
          <w:b/>
          <w:sz w:val="24"/>
          <w:szCs w:val="24"/>
        </w:rPr>
        <w:t>AboEl-Hassan et al. (2025)</w:t>
      </w:r>
      <w:r>
        <w:rPr>
          <w:rFonts w:ascii="Times New Roman" w:hAnsi="Times New Roman" w:cs="Times New Roman"/>
          <w:sz w:val="24"/>
          <w:szCs w:val="24"/>
        </w:rPr>
        <w:t xml:space="preserve"> [14]: [to be completed from the full text]</w:t>
      </w:r>
    </w:p>
    <w:p>
      <w:pPr>
        <w:jc w:val="both"/>
      </w:pPr>
      <w:r>
        <w:rPr>
          <w:rFonts w:ascii="Times New Roman" w:hAnsi="Times New Roman" w:cs="Times New Roman"/>
          <w:b/>
          <w:sz w:val="24"/>
          <w:szCs w:val="24"/>
        </w:rPr>
        <w:t>Hussain et al. (2023)</w:t>
      </w:r>
      <w:r>
        <w:rPr>
          <w:rFonts w:ascii="Times New Roman" w:hAnsi="Times New Roman" w:cs="Times New Roman"/>
          <w:sz w:val="24"/>
          <w:szCs w:val="24"/>
        </w:rPr>
        <w:t xml:space="preserve"> [15]: [to be completed from the full text]</w:t>
      </w:r>
    </w:p>
    <w:p>
      <w:pPr>
        <w:jc w:val="both"/>
      </w:pPr>
      <w:r>
        <w:rPr>
          <w:rFonts w:ascii="Times New Roman" w:hAnsi="Times New Roman" w:cs="Times New Roman"/>
          <w:b/>
          <w:sz w:val="24"/>
          <w:szCs w:val="24"/>
        </w:rPr>
        <w:t>Al-Gburi et al. (2022)</w:t>
      </w:r>
      <w:r>
        <w:rPr>
          <w:rFonts w:ascii="Times New Roman" w:hAnsi="Times New Roman" w:cs="Times New Roman"/>
          <w:sz w:val="24"/>
          <w:szCs w:val="24"/>
        </w:rPr>
        <w:t xml:space="preserve"> [16]: [to be completed from the full text]</w:t>
      </w:r>
    </w:p>
    <w:p>
      <w:pPr>
        <w:jc w:val="both"/>
      </w:pPr>
      <w:r>
        <w:rPr>
          <w:rFonts w:ascii="Times New Roman" w:hAnsi="Times New Roman" w:cs="Times New Roman"/>
          <w:b/>
          <w:sz w:val="24"/>
          <w:szCs w:val="24"/>
        </w:rPr>
        <w:t>Hammache et al. (2024)</w:t>
      </w:r>
      <w:r>
        <w:rPr>
          <w:rFonts w:ascii="Times New Roman" w:hAnsi="Times New Roman" w:cs="Times New Roman"/>
          <w:sz w:val="24"/>
          <w:szCs w:val="24"/>
        </w:rPr>
        <w:t xml:space="preserve"> [17]: [to be completed from the full text]</w:t>
      </w:r>
    </w:p>
    <w:p>
      <w:pPr>
        <w:pStyle w:val="Heading2"/>
        <w:rPr>
          <w:rFonts w:ascii="Times New Roman" w:hAnsi="Times New Roman" w:cs="Times New Roman"/>
          <w:sz w:val="24"/>
          <w:szCs w:val="24"/>
        </w:rPr>
      </w:pPr>
      <w:r>
        <w:rPr>
          <w:rFonts w:ascii="Times New Roman" w:hAnsi="Times New Roman" w:cs="Times New Roman"/>
          <w:i/>
          <w:sz w:val="24"/>
          <w:szCs w:val="24"/>
        </w:rPr>
        <w:t>MIMO Antennas with Metasurfaces</w:t>
      </w:r>
    </w:p>
    <w:p>
      <w:pPr>
        <w:jc w:val="both"/>
      </w:pPr>
      <w:r>
        <w:rPr>
          <w:rFonts w:ascii="Times New Roman" w:hAnsi="Times New Roman" w:cs="Times New Roman"/>
          <w:b/>
          <w:sz w:val="24"/>
          <w:szCs w:val="24"/>
        </w:rPr>
        <w:t>Sufian et al. (2021)</w:t>
      </w:r>
      <w:r>
        <w:rPr>
          <w:rFonts w:ascii="Times New Roman" w:hAnsi="Times New Roman" w:cs="Times New Roman"/>
          <w:sz w:val="24"/>
          <w:szCs w:val="24"/>
        </w:rPr>
        <w:t xml:space="preserve"> [18]: [to be completed from the full text]</w:t>
      </w:r>
    </w:p>
    <w:p>
      <w:pPr>
        <w:jc w:val="both"/>
      </w:pPr>
      <w:r>
        <w:rPr>
          <w:rFonts w:ascii="Times New Roman" w:hAnsi="Times New Roman" w:cs="Times New Roman"/>
          <w:b/>
          <w:sz w:val="24"/>
          <w:szCs w:val="24"/>
        </w:rPr>
        <w:t>Hasan et al. (2022)</w:t>
      </w:r>
      <w:r>
        <w:rPr>
          <w:rFonts w:ascii="Times New Roman" w:hAnsi="Times New Roman" w:cs="Times New Roman"/>
          <w:sz w:val="24"/>
          <w:szCs w:val="24"/>
        </w:rPr>
        <w:t xml:space="preserve"> [19]: [to be completed from the full text]</w:t>
      </w:r>
    </w:p>
    <w:p>
      <w:pPr>
        <w:jc w:val="both"/>
      </w:pPr>
      <w:r>
        <w:rPr>
          <w:rFonts w:ascii="Times New Roman" w:hAnsi="Times New Roman" w:cs="Times New Roman"/>
          <w:b/>
          <w:sz w:val="24"/>
          <w:szCs w:val="24"/>
        </w:rPr>
        <w:t>Althuwayb et al. (2023)</w:t>
      </w:r>
      <w:r>
        <w:rPr>
          <w:rFonts w:ascii="Times New Roman" w:hAnsi="Times New Roman" w:cs="Times New Roman"/>
          <w:sz w:val="24"/>
          <w:szCs w:val="24"/>
        </w:rPr>
        <w:t xml:space="preserve"> [20]: [to be completed from the full text]</w:t>
      </w:r>
    </w:p>
    <w:p>
      <w:pPr>
        <w:jc w:val="both"/>
      </w:pPr>
      <w:r>
        <w:rPr>
          <w:rFonts w:ascii="Times New Roman" w:hAnsi="Times New Roman" w:cs="Times New Roman"/>
          <w:b/>
          <w:sz w:val="24"/>
          <w:szCs w:val="24"/>
        </w:rPr>
        <w:t>Wu et al. (2023)</w:t>
      </w:r>
      <w:r>
        <w:rPr>
          <w:rFonts w:ascii="Times New Roman" w:hAnsi="Times New Roman" w:cs="Times New Roman"/>
          <w:sz w:val="24"/>
          <w:szCs w:val="24"/>
        </w:rPr>
        <w:t xml:space="preserve"> [21]: [to be completed from the full text]</w:t>
      </w:r>
    </w:p>
    <w:p>
      <w:pPr>
        <w:jc w:val="both"/>
      </w:pPr>
      <w:r>
        <w:rPr>
          <w:rFonts w:ascii="Times New Roman" w:hAnsi="Times New Roman" w:cs="Times New Roman"/>
          <w:b/>
          <w:sz w:val="24"/>
          <w:szCs w:val="24"/>
        </w:rPr>
        <w:t>Metasurface mmWave MIMO (2021)</w:t>
      </w:r>
      <w:r>
        <w:rPr>
          <w:rFonts w:ascii="Times New Roman" w:hAnsi="Times New Roman" w:cs="Times New Roman"/>
          <w:sz w:val="24"/>
          <w:szCs w:val="24"/>
        </w:rPr>
        <w:t xml:space="preserve"> [22]: [to be completed from the full text]</w:t>
      </w:r>
    </w:p>
    <w:p>
      <w:pPr>
        <w:pStyle w:val="Heading2"/>
        <w:rPr>
          <w:rFonts w:ascii="Times New Roman" w:hAnsi="Times New Roman" w:cs="Times New Roman"/>
          <w:sz w:val="24"/>
          <w:szCs w:val="24"/>
        </w:rPr>
      </w:pPr>
      <w:r>
        <w:rPr>
          <w:rFonts w:ascii="Times New Roman" w:hAnsi="Times New Roman" w:cs="Times New Roman"/>
          <w:i/>
          <w:sz w:val="24"/>
          <w:szCs w:val="24"/>
        </w:rPr>
        <w:t>Comparison and Research Gap</w:t>
      </w: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Single wideband antennas with a metasurface, AMC or FSS reflector.</w:t>
      </w:r>
    </w:p>
    <w:tbl>
      <w:tblPr>
        <w:tblStyle w:val="TableGrid"/>
        <w:tblW w:type="auto" w:w="0"/>
        <w:jc w:val="center"/>
        <w:tblLayout w:type="fixed"/>
        <w:tblLook w:firstColumn="1" w:firstRow="1" w:lastColumn="0" w:lastRow="0" w:noHBand="0" w:noVBand="1" w:val="04A0"/>
      </w:tblPr>
      <w:tblGrid>
        <w:gridCol w:w="792"/>
        <w:gridCol w:w="1296"/>
        <w:gridCol w:w="1080"/>
        <w:gridCol w:w="1584"/>
        <w:gridCol w:w="1224"/>
        <w:gridCol w:w="1224"/>
        <w:gridCol w:w="1440"/>
      </w:tblGrid>
      <w:tr>
        <w:trPr>
          <w:tblHeader/>
        </w:trPr>
        <w:tc>
          <w:tcPr>
            <w:tcW w:type="dxa" w:w="792"/>
            <w:vAlign w:val="center"/>
            <w:shd w:val="clear" w:color="auto" w:fill="D9D9D9"/>
          </w:tcPr>
          <w:p>
            <w:pPr>
              <w:spacing w:after="0" w:line="240" w:lineRule="auto"/>
              <w:jc w:val="left"/>
            </w:pPr>
            <w:r>
              <w:rPr>
                <w:rFonts w:ascii="Times New Roman" w:hAnsi="Times New Roman" w:cs="Times New Roman"/>
                <w:b/>
                <w:sz w:val="17"/>
                <w:szCs w:val="17"/>
              </w:rPr>
              <w:t>Ref.</w:t>
            </w:r>
          </w:p>
        </w:tc>
        <w:tc>
          <w:tcPr>
            <w:tcW w:type="dxa" w:w="1296"/>
            <w:vAlign w:val="center"/>
            <w:shd w:val="clear" w:color="auto" w:fill="D9D9D9"/>
          </w:tcPr>
          <w:p>
            <w:pPr>
              <w:spacing w:after="0" w:line="240" w:lineRule="auto"/>
              <w:jc w:val="center"/>
            </w:pPr>
            <w:r>
              <w:rPr>
                <w:rFonts w:ascii="Times New Roman" w:hAnsi="Times New Roman" w:cs="Times New Roman"/>
                <w:b/>
                <w:sz w:val="17"/>
                <w:szCs w:val="17"/>
              </w:rPr>
              <w:t>Antenna / feed</w:t>
            </w:r>
          </w:p>
        </w:tc>
        <w:tc>
          <w:tcPr>
            <w:tcW w:type="dxa" w:w="1080"/>
            <w:vAlign w:val="center"/>
            <w:shd w:val="clear" w:color="auto" w:fill="D9D9D9"/>
          </w:tcPr>
          <w:p>
            <w:pPr>
              <w:spacing w:after="0" w:line="240" w:lineRule="auto"/>
              <w:jc w:val="center"/>
            </w:pPr>
            <w:r>
              <w:rPr>
                <w:rFonts w:ascii="Times New Roman" w:hAnsi="Times New Roman" w:cs="Times New Roman"/>
                <w:b/>
                <w:sz w:val="17"/>
                <w:szCs w:val="17"/>
              </w:rPr>
              <w:t>Substrate</w:t>
            </w:r>
          </w:p>
        </w:tc>
        <w:tc>
          <w:tcPr>
            <w:tcW w:type="dxa" w:w="1584"/>
            <w:vAlign w:val="center"/>
            <w:shd w:val="clear" w:color="auto" w:fill="D9D9D9"/>
          </w:tcPr>
          <w:p>
            <w:pPr>
              <w:spacing w:after="0" w:line="240" w:lineRule="auto"/>
              <w:jc w:val="center"/>
            </w:pPr>
            <w:r>
              <w:rPr>
                <w:rFonts w:ascii="Times New Roman" w:hAnsi="Times New Roman" w:cs="Times New Roman"/>
                <w:b/>
                <w:sz w:val="17"/>
                <w:szCs w:val="17"/>
              </w:rPr>
              <w:t>Reflector: unit cell, array</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Gap, backing</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Band (GHz)</w:t>
            </w:r>
          </w:p>
        </w:tc>
        <w:tc>
          <w:tcPr>
            <w:tcW w:type="dxa" w:w="1440"/>
            <w:vAlign w:val="center"/>
            <w:shd w:val="clear" w:color="auto" w:fill="D9D9D9"/>
          </w:tcPr>
          <w:p>
            <w:pPr>
              <w:spacing w:after="0" w:line="240" w:lineRule="auto"/>
              <w:jc w:val="center"/>
            </w:pPr>
            <w:r>
              <w:rPr>
                <w:rFonts w:ascii="Times New Roman" w:hAnsi="Times New Roman" w:cs="Times New Roman"/>
                <w:b/>
                <w:sz w:val="17"/>
                <w:szCs w:val="17"/>
              </w:rPr>
              <w:t>Peak gain (dBi): no MS → MS</w:t>
            </w:r>
          </w:p>
        </w:tc>
      </w:tr>
      <w:tr>
        <w:tc>
          <w:tcPr>
            <w:tcW w:type="dxa" w:w="792"/>
            <w:vAlign w:val="center"/>
          </w:tcPr>
          <w:p>
            <w:pPr>
              <w:spacing w:after="0" w:line="240" w:lineRule="auto"/>
              <w:jc w:val="left"/>
            </w:pPr>
            <w:r>
              <w:rPr>
                <w:rFonts w:ascii="Times New Roman" w:hAnsi="Times New Roman" w:cs="Times New Roman"/>
                <w:sz w:val="17"/>
                <w:szCs w:val="17"/>
              </w:rPr>
              <w:t>[13]</w:t>
            </w:r>
          </w:p>
        </w:tc>
        <w:tc>
          <w:tcPr>
            <w:tcW w:type="dxa" w:w="1296"/>
            <w:vAlign w:val="center"/>
          </w:tcPr>
          <w:p>
            <w:pPr>
              <w:spacing w:after="0" w:line="240" w:lineRule="auto"/>
              <w:jc w:val="center"/>
            </w:pPr>
            <w:r>
              <w:rPr>
                <w:rFonts w:ascii="Times New Roman" w:hAnsi="Times New Roman" w:cs="Times New Roman"/>
                <w:sz w:val="17"/>
                <w:szCs w:val="17"/>
              </w:rPr>
              <w:t>?</w:t>
            </w:r>
          </w:p>
        </w:tc>
        <w:tc>
          <w:tcPr>
            <w:tcW w:type="dxa" w:w="1080"/>
            <w:vAlign w:val="center"/>
          </w:tcPr>
          <w:p>
            <w:pPr>
              <w:spacing w:after="0" w:line="240" w:lineRule="auto"/>
              <w:jc w:val="center"/>
            </w:pPr>
            <w:r>
              <w:rPr>
                <w:rFonts w:ascii="Times New Roman" w:hAnsi="Times New Roman" w:cs="Times New Roman"/>
                <w:sz w:val="17"/>
                <w:szCs w:val="17"/>
              </w:rPr>
              <w:t>?</w:t>
            </w:r>
          </w:p>
        </w:tc>
        <w:tc>
          <w:tcPr>
            <w:tcW w:type="dxa" w:w="158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440"/>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[14]</w:t>
            </w:r>
          </w:p>
        </w:tc>
        <w:tc>
          <w:tcPr>
            <w:tcW w:type="dxa" w:w="1296"/>
            <w:vAlign w:val="center"/>
          </w:tcPr>
          <w:p>
            <w:pPr>
              <w:spacing w:after="0" w:line="240" w:lineRule="auto"/>
              <w:jc w:val="center"/>
            </w:pPr>
            <w:r>
              <w:rPr>
                <w:rFonts w:ascii="Times New Roman" w:hAnsi="Times New Roman" w:cs="Times New Roman"/>
                <w:sz w:val="17"/>
                <w:szCs w:val="17"/>
              </w:rPr>
              <w:t>?</w:t>
            </w:r>
          </w:p>
        </w:tc>
        <w:tc>
          <w:tcPr>
            <w:tcW w:type="dxa" w:w="1080"/>
            <w:vAlign w:val="center"/>
          </w:tcPr>
          <w:p>
            <w:pPr>
              <w:spacing w:after="0" w:line="240" w:lineRule="auto"/>
              <w:jc w:val="center"/>
            </w:pPr>
            <w:r>
              <w:rPr>
                <w:rFonts w:ascii="Times New Roman" w:hAnsi="Times New Roman" w:cs="Times New Roman"/>
                <w:sz w:val="17"/>
                <w:szCs w:val="17"/>
              </w:rPr>
              <w:t>?</w:t>
            </w:r>
          </w:p>
        </w:tc>
        <w:tc>
          <w:tcPr>
            <w:tcW w:type="dxa" w:w="158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440"/>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[15]</w:t>
            </w:r>
          </w:p>
        </w:tc>
        <w:tc>
          <w:tcPr>
            <w:tcW w:type="dxa" w:w="1296"/>
            <w:vAlign w:val="center"/>
          </w:tcPr>
          <w:p>
            <w:pPr>
              <w:spacing w:after="0" w:line="240" w:lineRule="auto"/>
              <w:jc w:val="center"/>
            </w:pPr>
            <w:r>
              <w:rPr>
                <w:rFonts w:ascii="Times New Roman" w:hAnsi="Times New Roman" w:cs="Times New Roman"/>
                <w:sz w:val="17"/>
                <w:szCs w:val="17"/>
              </w:rPr>
              <w:t>?</w:t>
            </w:r>
          </w:p>
        </w:tc>
        <w:tc>
          <w:tcPr>
            <w:tcW w:type="dxa" w:w="1080"/>
            <w:vAlign w:val="center"/>
          </w:tcPr>
          <w:p>
            <w:pPr>
              <w:spacing w:after="0" w:line="240" w:lineRule="auto"/>
              <w:jc w:val="center"/>
            </w:pPr>
            <w:r>
              <w:rPr>
                <w:rFonts w:ascii="Times New Roman" w:hAnsi="Times New Roman" w:cs="Times New Roman"/>
                <w:sz w:val="17"/>
                <w:szCs w:val="17"/>
              </w:rPr>
              <w:t>?</w:t>
            </w:r>
          </w:p>
        </w:tc>
        <w:tc>
          <w:tcPr>
            <w:tcW w:type="dxa" w:w="158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440"/>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[16]</w:t>
            </w:r>
          </w:p>
        </w:tc>
        <w:tc>
          <w:tcPr>
            <w:tcW w:type="dxa" w:w="1296"/>
            <w:vAlign w:val="center"/>
          </w:tcPr>
          <w:p>
            <w:pPr>
              <w:spacing w:after="0" w:line="240" w:lineRule="auto"/>
              <w:jc w:val="center"/>
            </w:pPr>
            <w:r>
              <w:rPr>
                <w:rFonts w:ascii="Times New Roman" w:hAnsi="Times New Roman" w:cs="Times New Roman"/>
                <w:sz w:val="17"/>
                <w:szCs w:val="17"/>
              </w:rPr>
              <w:t>?</w:t>
            </w:r>
          </w:p>
        </w:tc>
        <w:tc>
          <w:tcPr>
            <w:tcW w:type="dxa" w:w="1080"/>
            <w:vAlign w:val="center"/>
          </w:tcPr>
          <w:p>
            <w:pPr>
              <w:spacing w:after="0" w:line="240" w:lineRule="auto"/>
              <w:jc w:val="center"/>
            </w:pPr>
            <w:r>
              <w:rPr>
                <w:rFonts w:ascii="Times New Roman" w:hAnsi="Times New Roman" w:cs="Times New Roman"/>
                <w:sz w:val="17"/>
                <w:szCs w:val="17"/>
              </w:rPr>
              <w:t>?</w:t>
            </w:r>
          </w:p>
        </w:tc>
        <w:tc>
          <w:tcPr>
            <w:tcW w:type="dxa" w:w="158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440"/>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[17]</w:t>
            </w:r>
          </w:p>
        </w:tc>
        <w:tc>
          <w:tcPr>
            <w:tcW w:type="dxa" w:w="1296"/>
            <w:vAlign w:val="center"/>
          </w:tcPr>
          <w:p>
            <w:pPr>
              <w:spacing w:after="0" w:line="240" w:lineRule="auto"/>
              <w:jc w:val="center"/>
            </w:pPr>
            <w:r>
              <w:rPr>
                <w:rFonts w:ascii="Times New Roman" w:hAnsi="Times New Roman" w:cs="Times New Roman"/>
                <w:sz w:val="17"/>
                <w:szCs w:val="17"/>
              </w:rPr>
              <w:t>?</w:t>
            </w:r>
          </w:p>
        </w:tc>
        <w:tc>
          <w:tcPr>
            <w:tcW w:type="dxa" w:w="1080"/>
            <w:vAlign w:val="center"/>
          </w:tcPr>
          <w:p>
            <w:pPr>
              <w:spacing w:after="0" w:line="240" w:lineRule="auto"/>
              <w:jc w:val="center"/>
            </w:pPr>
            <w:r>
              <w:rPr>
                <w:rFonts w:ascii="Times New Roman" w:hAnsi="Times New Roman" w:cs="Times New Roman"/>
                <w:sz w:val="17"/>
                <w:szCs w:val="17"/>
              </w:rPr>
              <w:t>?</w:t>
            </w:r>
          </w:p>
        </w:tc>
        <w:tc>
          <w:tcPr>
            <w:tcW w:type="dxa" w:w="158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c>
          <w:tcPr>
            <w:tcW w:type="dxa" w:w="1440"/>
            <w:vAlign w:val="center"/>
          </w:tcPr>
          <w:p>
            <w:pPr>
              <w:spacing w:after="0" w:line="240" w:lineRule="auto"/>
              <w:jc w:val="center"/>
            </w:pPr>
            <w:r>
              <w:rPr>
                <w:rFonts w:ascii="Times New Roman" w:hAnsi="Times New Roman" w:cs="Times New Roman"/>
                <w:sz w:val="17"/>
                <w:szCs w:val="17"/>
              </w:rPr>
              <w:t>?</w:t>
            </w:r>
          </w:p>
        </w:tc>
      </w:tr>
      <w:tr>
        <w:tc>
          <w:tcPr>
            <w:tcW w:type="dxa" w:w="792"/>
            <w:vAlign w:val="center"/>
            <w:shd w:val="clear" w:color="auto" w:fill="DCE6F2"/>
          </w:tcPr>
          <w:p>
            <w:pPr>
              <w:spacing w:after="0" w:line="240" w:lineRule="auto"/>
              <w:jc w:val="left"/>
            </w:pPr>
            <w:r>
              <w:rPr>
                <w:rFonts w:ascii="Times New Roman" w:hAnsi="Times New Roman" w:cs="Times New Roman"/>
                <w:b/>
                <w:sz w:val="17"/>
                <w:szCs w:val="17"/>
              </w:rPr>
              <w:t>This work</w:t>
            </w:r>
          </w:p>
        </w:tc>
        <w:tc>
          <w:tcPr>
            <w:tcW w:type="dxa" w:w="1296"/>
            <w:vAlign w:val="center"/>
            <w:shd w:val="clear" w:color="auto" w:fill="DCE6F2"/>
          </w:tcPr>
          <w:p>
            <w:pPr>
              <w:spacing w:after="0" w:line="240" w:lineRule="auto"/>
              <w:jc w:val="center"/>
            </w:pPr>
            <w:r>
              <w:rPr>
                <w:rFonts w:ascii="Times New Roman" w:hAnsi="Times New Roman" w:cs="Times New Roman"/>
                <w:sz w:val="17"/>
                <w:szCs w:val="17"/>
              </w:rPr>
              <w:t>CPW-fed planar monopole</w:t>
            </w:r>
          </w:p>
        </w:tc>
        <w:tc>
          <w:tcPr>
            <w:tcW w:type="dxa" w:w="1080"/>
            <w:vAlign w:val="center"/>
            <w:shd w:val="clear" w:color="auto" w:fill="DCE6F2"/>
          </w:tcPr>
          <w:p>
            <w:pPr>
              <w:spacing w:after="0" w:line="240" w:lineRule="auto"/>
              <w:jc w:val="center"/>
            </w:pPr>
            <w:r>
              <w:rPr>
                <w:rFonts w:ascii="Times New Roman" w:hAnsi="Times New Roman" w:cs="Times New Roman"/>
                <w:sz w:val="17"/>
                <w:szCs w:val="17"/>
              </w:rPr>
              <w:t>see design</w:t>
            </w:r>
          </w:p>
        </w:tc>
        <w:tc>
          <w:tcPr>
            <w:tcW w:type="dxa" w:w="1584"/>
            <w:vAlign w:val="center"/>
            <w:shd w:val="clear" w:color="auto" w:fill="DCE6F2"/>
          </w:tcPr>
          <w:p>
            <w:pPr>
              <w:spacing w:after="0" w:line="240" w:lineRule="auto"/>
              <w:jc w:val="center"/>
            </w:pPr>
            <w:r>
              <w:rPr>
                <w:rFonts w:ascii="Times New Roman" w:hAnsi="Times New Roman" w:cs="Times New Roman"/>
                <w:sz w:val="17"/>
                <w:szCs w:val="17"/>
              </w:rPr>
              <w:t>Single split-ring resonator (SRR) array (design ongoing)</w:t>
            </w:r>
          </w:p>
        </w:tc>
        <w:tc>
          <w:tcPr>
            <w:tcW w:type="dxa" w:w="1224"/>
            <w:vAlign w:val="center"/>
            <w:shd w:val="clear" w:color="auto" w:fill="DCE6F2"/>
          </w:tcPr>
          <w:p>
            <w:pPr>
              <w:spacing w:after="0" w:line="240" w:lineRule="auto"/>
              <w:jc w:val="center"/>
            </w:pPr>
            <w:r>
              <w:rPr>
                <w:rFonts w:ascii="Times New Roman" w:hAnsi="Times New Roman" w:cs="Times New Roman"/>
                <w:sz w:val="17"/>
                <w:szCs w:val="17"/>
              </w:rPr>
              <w:t>3.9 mm, air (0.028λ</w:t>
            </w:r>
            <w:r>
              <w:rPr>
                <w:rFonts w:ascii="Times New Roman" w:hAnsi="Times New Roman" w:cs="Times New Roman"/>
                <w:sz w:val="17"/>
                <w:szCs w:val="17"/>
                <w:vertAlign w:val="subscript"/>
              </w:rPr>
              <w:t>L</w:t>
            </w:r>
            <w:r>
              <w:rPr>
                <w:rFonts w:ascii="Times New Roman" w:hAnsi="Times New Roman" w:cs="Times New Roman"/>
                <w:sz w:val="17"/>
                <w:szCs w:val="17"/>
              </w:rPr>
              <w:t>)</w:t>
            </w:r>
          </w:p>
        </w:tc>
        <w:tc>
          <w:tcPr>
            <w:tcW w:type="dxa" w:w="1224"/>
            <w:vAlign w:val="center"/>
            <w:shd w:val="clear" w:color="auto" w:fill="DCE6F2"/>
          </w:tcPr>
          <w:p>
            <w:pPr>
              <w:spacing w:after="0" w:line="240" w:lineRule="auto"/>
              <w:jc w:val="center"/>
            </w:pPr>
            <w:r>
              <w:rPr>
                <w:rFonts w:ascii="Times New Roman" w:hAnsi="Times New Roman" w:cs="Times New Roman"/>
                <w:sz w:val="17"/>
                <w:szCs w:val="17"/>
              </w:rPr>
              <w:t>2.16–15.73 (no MS)</w:t>
            </w:r>
          </w:p>
        </w:tc>
        <w:tc>
          <w:tcPr>
            <w:tcW w:type="dxa" w:w="1440"/>
            <w:vAlign w:val="center"/>
            <w:shd w:val="clear" w:color="auto" w:fill="DCE6F2"/>
          </w:tcPr>
          <w:p>
            <w:pPr>
              <w:spacing w:after="0" w:line="240" w:lineRule="auto"/>
              <w:jc w:val="center"/>
            </w:pPr>
            <w:r>
              <w:rPr>
                <w:rFonts w:ascii="Times New Roman" w:hAnsi="Times New Roman" w:cs="Times New Roman"/>
                <w:sz w:val="17"/>
                <w:szCs w:val="17"/>
              </w:rPr>
              <w:t>≈ 1.3–5.1 (IEEE gain, no MS) → pending</w:t>
            </w:r>
          </w:p>
        </w:tc>
      </w:tr>
    </w:tbl>
    <w:p>
      <w:pPr>
        <w:spacing w:after="40"/>
      </w:pP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MIMO antennas that use a metasurface (background for Phase II).</w:t>
      </w:r>
    </w:p>
    <w:tbl>
      <w:tblPr>
        <w:tblStyle w:val="TableGrid"/>
        <w:tblW w:type="auto" w:w="0"/>
        <w:jc w:val="center"/>
        <w:tblLayout w:type="fixed"/>
        <w:tblLook w:firstColumn="1" w:firstRow="1" w:lastColumn="0" w:lastRow="0" w:noHBand="0" w:noVBand="1" w:val="04A0"/>
      </w:tblPr>
      <w:tblGrid>
        <w:gridCol w:w="792"/>
        <w:gridCol w:w="1368"/>
        <w:gridCol w:w="1152"/>
        <w:gridCol w:w="2232"/>
        <w:gridCol w:w="1008"/>
        <w:gridCol w:w="864"/>
        <w:gridCol w:w="1224"/>
      </w:tblGrid>
      <w:tr>
        <w:trPr>
          <w:tblHeader/>
        </w:trPr>
        <w:tc>
          <w:tcPr>
            <w:tcW w:type="dxa" w:w="792"/>
            <w:vAlign w:val="center"/>
            <w:shd w:val="clear" w:color="auto" w:fill="D9D9D9"/>
          </w:tcPr>
          <w:p>
            <w:pPr>
              <w:spacing w:after="0" w:line="240" w:lineRule="auto"/>
              <w:jc w:val="left"/>
            </w:pPr>
            <w:r>
              <w:rPr>
                <w:rFonts w:ascii="Times New Roman" w:hAnsi="Times New Roman" w:cs="Times New Roman"/>
                <w:b/>
                <w:sz w:val="17"/>
                <w:szCs w:val="17"/>
              </w:rPr>
              <w:t>Ref.</w:t>
            </w:r>
          </w:p>
        </w:tc>
        <w:tc>
          <w:tcPr>
            <w:tcW w:type="dxa" w:w="1368"/>
            <w:vAlign w:val="center"/>
            <w:shd w:val="clear" w:color="auto" w:fill="D9D9D9"/>
          </w:tcPr>
          <w:p>
            <w:pPr>
              <w:spacing w:after="0" w:line="240" w:lineRule="auto"/>
              <w:jc w:val="center"/>
            </w:pPr>
            <w:r>
              <w:rPr>
                <w:rFonts w:ascii="Times New Roman" w:hAnsi="Times New Roman" w:cs="Times New Roman"/>
                <w:b/>
                <w:sz w:val="17"/>
                <w:szCs w:val="17"/>
              </w:rPr>
              <w:t>Ports, size (mm)</w:t>
            </w:r>
          </w:p>
        </w:tc>
        <w:tc>
          <w:tcPr>
            <w:tcW w:type="dxa" w:w="1152"/>
            <w:vAlign w:val="center"/>
            <w:shd w:val="clear" w:color="auto" w:fill="D9D9D9"/>
          </w:tcPr>
          <w:p>
            <w:pPr>
              <w:spacing w:after="0" w:line="240" w:lineRule="auto"/>
              <w:jc w:val="center"/>
            </w:pPr>
            <w:r>
              <w:rPr>
                <w:rFonts w:ascii="Times New Roman" w:hAnsi="Times New Roman" w:cs="Times New Roman"/>
                <w:b/>
                <w:sz w:val="17"/>
                <w:szCs w:val="17"/>
              </w:rPr>
              <w:t>Band (GHz)</w:t>
            </w:r>
          </w:p>
        </w:tc>
        <w:tc>
          <w:tcPr>
            <w:tcW w:type="dxa" w:w="2232"/>
            <w:vAlign w:val="center"/>
            <w:shd w:val="clear" w:color="auto" w:fill="D9D9D9"/>
          </w:tcPr>
          <w:p>
            <w:pPr>
              <w:spacing w:after="0" w:line="240" w:lineRule="auto"/>
              <w:jc w:val="center"/>
            </w:pPr>
            <w:r>
              <w:rPr>
                <w:rFonts w:ascii="Times New Roman" w:hAnsi="Times New Roman" w:cs="Times New Roman"/>
                <w:b/>
                <w:sz w:val="17"/>
                <w:szCs w:val="17"/>
              </w:rPr>
              <w:t>Metasurface and its role</w:t>
            </w:r>
          </w:p>
        </w:tc>
        <w:tc>
          <w:tcPr>
            <w:tcW w:type="dxa" w:w="1008"/>
            <w:vAlign w:val="center"/>
            <w:shd w:val="clear" w:color="auto" w:fill="D9D9D9"/>
          </w:tcPr>
          <w:p>
            <w:pPr>
              <w:spacing w:after="0" w:line="240" w:lineRule="auto"/>
              <w:jc w:val="center"/>
            </w:pPr>
            <w:r>
              <w:rPr>
                <w:rFonts w:ascii="Times New Roman" w:hAnsi="Times New Roman" w:cs="Times New Roman"/>
                <w:b/>
                <w:sz w:val="17"/>
                <w:szCs w:val="17"/>
              </w:rPr>
              <w:t>Isolation (dB)</w:t>
            </w:r>
          </w:p>
        </w:tc>
        <w:tc>
          <w:tcPr>
            <w:tcW w:type="dxa" w:w="864"/>
            <w:vAlign w:val="center"/>
            <w:shd w:val="clear" w:color="auto" w:fill="D9D9D9"/>
          </w:tcPr>
          <w:p>
            <w:pPr>
              <w:spacing w:after="0" w:line="240" w:lineRule="auto"/>
              <w:jc w:val="center"/>
            </w:pPr>
            <w:r>
              <w:rPr>
                <w:rFonts w:ascii="Times New Roman" w:hAnsi="Times New Roman" w:cs="Times New Roman"/>
                <w:b/>
                <w:sz w:val="17"/>
                <w:szCs w:val="17"/>
              </w:rPr>
              <w:t>ECC</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Peak gain (dBi)</w:t>
            </w:r>
          </w:p>
        </w:tc>
      </w:tr>
      <w:tr>
        <w:tc>
          <w:tcPr>
            <w:tcW w:type="dxa" w:w="792"/>
            <w:vAlign w:val="center"/>
          </w:tcPr>
          <w:p>
            <w:pPr>
              <w:spacing w:after="0" w:line="240" w:lineRule="auto"/>
              <w:jc w:val="left"/>
            </w:pPr>
            <w:r>
              <w:rPr>
                <w:rFonts w:ascii="Times New Roman" w:hAnsi="Times New Roman" w:cs="Times New Roman"/>
                <w:sz w:val="17"/>
                <w:szCs w:val="17"/>
              </w:rPr>
              <w:t>[18]</w:t>
            </w:r>
          </w:p>
        </w:tc>
        <w:tc>
          <w:tcPr>
            <w:tcW w:type="dxa" w:w="1368"/>
            <w:vAlign w:val="center"/>
          </w:tcPr>
          <w:p>
            <w:pPr>
              <w:spacing w:after="0" w:line="240" w:lineRule="auto"/>
              <w:jc w:val="center"/>
            </w:pPr>
            <w:r>
              <w:rPr>
                <w:rFonts w:ascii="Times New Roman" w:hAnsi="Times New Roman" w:cs="Times New Roman"/>
                <w:sz w:val="17"/>
                <w:szCs w:val="17"/>
              </w:rPr>
              <w:t>?; ?</w:t>
            </w:r>
          </w:p>
        </w:tc>
        <w:tc>
          <w:tcPr>
            <w:tcW w:type="dxa" w:w="1152"/>
            <w:vAlign w:val="center"/>
          </w:tcPr>
          <w:p>
            <w:pPr>
              <w:spacing w:after="0" w:line="240" w:lineRule="auto"/>
              <w:jc w:val="center"/>
            </w:pPr>
            <w:r>
              <w:rPr>
                <w:rFonts w:ascii="Times New Roman" w:hAnsi="Times New Roman" w:cs="Times New Roman"/>
                <w:sz w:val="17"/>
                <w:szCs w:val="17"/>
              </w:rPr>
              <w:t>?</w:t>
            </w:r>
          </w:p>
        </w:tc>
        <w:tc>
          <w:tcPr>
            <w:tcW w:type="dxa" w:w="2232"/>
            <w:vAlign w:val="center"/>
          </w:tcPr>
          <w:p>
            <w:pPr>
              <w:spacing w:after="0" w:line="240" w:lineRule="auto"/>
              <w:jc w:val="center"/>
            </w:pPr>
            <w:r>
              <w:rPr>
                <w:rFonts w:ascii="Times New Roman" w:hAnsi="Times New Roman" w:cs="Times New Roman"/>
                <w:sz w:val="17"/>
                <w:szCs w:val="17"/>
              </w:rPr>
              <w:t>?; ?</w:t>
            </w:r>
          </w:p>
        </w:tc>
        <w:tc>
          <w:tcPr>
            <w:tcW w:type="dxa" w:w="1008"/>
            <w:vAlign w:val="center"/>
          </w:tcPr>
          <w:p>
            <w:pPr>
              <w:spacing w:after="0" w:line="240" w:lineRule="auto"/>
              <w:jc w:val="center"/>
            </w:pPr>
            <w:r>
              <w:rPr>
                <w:rFonts w:ascii="Times New Roman" w:hAnsi="Times New Roman" w:cs="Times New Roman"/>
                <w:sz w:val="17"/>
                <w:szCs w:val="17"/>
              </w:rPr>
              <w:t>?</w:t>
            </w:r>
          </w:p>
        </w:tc>
        <w:tc>
          <w:tcPr>
            <w:tcW w:type="dxa" w:w="86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[19]</w:t>
            </w:r>
          </w:p>
        </w:tc>
        <w:tc>
          <w:tcPr>
            <w:tcW w:type="dxa" w:w="1368"/>
            <w:vAlign w:val="center"/>
          </w:tcPr>
          <w:p>
            <w:pPr>
              <w:spacing w:after="0" w:line="240" w:lineRule="auto"/>
              <w:jc w:val="center"/>
            </w:pPr>
            <w:r>
              <w:rPr>
                <w:rFonts w:ascii="Times New Roman" w:hAnsi="Times New Roman" w:cs="Times New Roman"/>
                <w:sz w:val="17"/>
                <w:szCs w:val="17"/>
              </w:rPr>
              <w:t>?; ?</w:t>
            </w:r>
          </w:p>
        </w:tc>
        <w:tc>
          <w:tcPr>
            <w:tcW w:type="dxa" w:w="1152"/>
            <w:vAlign w:val="center"/>
          </w:tcPr>
          <w:p>
            <w:pPr>
              <w:spacing w:after="0" w:line="240" w:lineRule="auto"/>
              <w:jc w:val="center"/>
            </w:pPr>
            <w:r>
              <w:rPr>
                <w:rFonts w:ascii="Times New Roman" w:hAnsi="Times New Roman" w:cs="Times New Roman"/>
                <w:sz w:val="17"/>
                <w:szCs w:val="17"/>
              </w:rPr>
              <w:t>?</w:t>
            </w:r>
          </w:p>
        </w:tc>
        <w:tc>
          <w:tcPr>
            <w:tcW w:type="dxa" w:w="2232"/>
            <w:vAlign w:val="center"/>
          </w:tcPr>
          <w:p>
            <w:pPr>
              <w:spacing w:after="0" w:line="240" w:lineRule="auto"/>
              <w:jc w:val="center"/>
            </w:pPr>
            <w:r>
              <w:rPr>
                <w:rFonts w:ascii="Times New Roman" w:hAnsi="Times New Roman" w:cs="Times New Roman"/>
                <w:sz w:val="17"/>
                <w:szCs w:val="17"/>
              </w:rPr>
              <w:t>?; ?</w:t>
            </w:r>
          </w:p>
        </w:tc>
        <w:tc>
          <w:tcPr>
            <w:tcW w:type="dxa" w:w="1008"/>
            <w:vAlign w:val="center"/>
          </w:tcPr>
          <w:p>
            <w:pPr>
              <w:spacing w:after="0" w:line="240" w:lineRule="auto"/>
              <w:jc w:val="center"/>
            </w:pPr>
            <w:r>
              <w:rPr>
                <w:rFonts w:ascii="Times New Roman" w:hAnsi="Times New Roman" w:cs="Times New Roman"/>
                <w:sz w:val="17"/>
                <w:szCs w:val="17"/>
              </w:rPr>
              <w:t>?</w:t>
            </w:r>
          </w:p>
        </w:tc>
        <w:tc>
          <w:tcPr>
            <w:tcW w:type="dxa" w:w="86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[20]</w:t>
            </w:r>
          </w:p>
        </w:tc>
        <w:tc>
          <w:tcPr>
            <w:tcW w:type="dxa" w:w="1368"/>
            <w:vAlign w:val="center"/>
          </w:tcPr>
          <w:p>
            <w:pPr>
              <w:spacing w:after="0" w:line="240" w:lineRule="auto"/>
              <w:jc w:val="center"/>
            </w:pPr>
            <w:r>
              <w:rPr>
                <w:rFonts w:ascii="Times New Roman" w:hAnsi="Times New Roman" w:cs="Times New Roman"/>
                <w:sz w:val="17"/>
                <w:szCs w:val="17"/>
              </w:rPr>
              <w:t>?; ?</w:t>
            </w:r>
          </w:p>
        </w:tc>
        <w:tc>
          <w:tcPr>
            <w:tcW w:type="dxa" w:w="1152"/>
            <w:vAlign w:val="center"/>
          </w:tcPr>
          <w:p>
            <w:pPr>
              <w:spacing w:after="0" w:line="240" w:lineRule="auto"/>
              <w:jc w:val="center"/>
            </w:pPr>
            <w:r>
              <w:rPr>
                <w:rFonts w:ascii="Times New Roman" w:hAnsi="Times New Roman" w:cs="Times New Roman"/>
                <w:sz w:val="17"/>
                <w:szCs w:val="17"/>
              </w:rPr>
              <w:t>?</w:t>
            </w:r>
          </w:p>
        </w:tc>
        <w:tc>
          <w:tcPr>
            <w:tcW w:type="dxa" w:w="2232"/>
            <w:vAlign w:val="center"/>
          </w:tcPr>
          <w:p>
            <w:pPr>
              <w:spacing w:after="0" w:line="240" w:lineRule="auto"/>
              <w:jc w:val="center"/>
            </w:pPr>
            <w:r>
              <w:rPr>
                <w:rFonts w:ascii="Times New Roman" w:hAnsi="Times New Roman" w:cs="Times New Roman"/>
                <w:sz w:val="17"/>
                <w:szCs w:val="17"/>
              </w:rPr>
              <w:t>?; ?</w:t>
            </w:r>
          </w:p>
        </w:tc>
        <w:tc>
          <w:tcPr>
            <w:tcW w:type="dxa" w:w="1008"/>
            <w:vAlign w:val="center"/>
          </w:tcPr>
          <w:p>
            <w:pPr>
              <w:spacing w:after="0" w:line="240" w:lineRule="auto"/>
              <w:jc w:val="center"/>
            </w:pPr>
            <w:r>
              <w:rPr>
                <w:rFonts w:ascii="Times New Roman" w:hAnsi="Times New Roman" w:cs="Times New Roman"/>
                <w:sz w:val="17"/>
                <w:szCs w:val="17"/>
              </w:rPr>
              <w:t>?</w:t>
            </w:r>
          </w:p>
        </w:tc>
        <w:tc>
          <w:tcPr>
            <w:tcW w:type="dxa" w:w="86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[21]</w:t>
            </w:r>
          </w:p>
        </w:tc>
        <w:tc>
          <w:tcPr>
            <w:tcW w:type="dxa" w:w="1368"/>
            <w:vAlign w:val="center"/>
          </w:tcPr>
          <w:p>
            <w:pPr>
              <w:spacing w:after="0" w:line="240" w:lineRule="auto"/>
              <w:jc w:val="center"/>
            </w:pPr>
            <w:r>
              <w:rPr>
                <w:rFonts w:ascii="Times New Roman" w:hAnsi="Times New Roman" w:cs="Times New Roman"/>
                <w:sz w:val="17"/>
                <w:szCs w:val="17"/>
              </w:rPr>
              <w:t>?; ?</w:t>
            </w:r>
          </w:p>
        </w:tc>
        <w:tc>
          <w:tcPr>
            <w:tcW w:type="dxa" w:w="1152"/>
            <w:vAlign w:val="center"/>
          </w:tcPr>
          <w:p>
            <w:pPr>
              <w:spacing w:after="0" w:line="240" w:lineRule="auto"/>
              <w:jc w:val="center"/>
            </w:pPr>
            <w:r>
              <w:rPr>
                <w:rFonts w:ascii="Times New Roman" w:hAnsi="Times New Roman" w:cs="Times New Roman"/>
                <w:sz w:val="17"/>
                <w:szCs w:val="17"/>
              </w:rPr>
              <w:t>?</w:t>
            </w:r>
          </w:p>
        </w:tc>
        <w:tc>
          <w:tcPr>
            <w:tcW w:type="dxa" w:w="2232"/>
            <w:vAlign w:val="center"/>
          </w:tcPr>
          <w:p>
            <w:pPr>
              <w:spacing w:after="0" w:line="240" w:lineRule="auto"/>
              <w:jc w:val="center"/>
            </w:pPr>
            <w:r>
              <w:rPr>
                <w:rFonts w:ascii="Times New Roman" w:hAnsi="Times New Roman" w:cs="Times New Roman"/>
                <w:sz w:val="17"/>
                <w:szCs w:val="17"/>
              </w:rPr>
              <w:t>?; ?</w:t>
            </w:r>
          </w:p>
        </w:tc>
        <w:tc>
          <w:tcPr>
            <w:tcW w:type="dxa" w:w="1008"/>
            <w:vAlign w:val="center"/>
          </w:tcPr>
          <w:p>
            <w:pPr>
              <w:spacing w:after="0" w:line="240" w:lineRule="auto"/>
              <w:jc w:val="center"/>
            </w:pPr>
            <w:r>
              <w:rPr>
                <w:rFonts w:ascii="Times New Roman" w:hAnsi="Times New Roman" w:cs="Times New Roman"/>
                <w:sz w:val="17"/>
                <w:szCs w:val="17"/>
              </w:rPr>
              <w:t>?</w:t>
            </w:r>
          </w:p>
        </w:tc>
        <w:tc>
          <w:tcPr>
            <w:tcW w:type="dxa" w:w="86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r>
      <w:tr>
        <w:tc>
          <w:tcPr>
            <w:tcW w:type="dxa" w:w="792"/>
            <w:vAlign w:val="center"/>
          </w:tcPr>
          <w:p>
            <w:pPr>
              <w:spacing w:after="0" w:line="240" w:lineRule="auto"/>
              <w:jc w:val="left"/>
            </w:pPr>
            <w:r>
              <w:rPr>
                <w:rFonts w:ascii="Times New Roman" w:hAnsi="Times New Roman" w:cs="Times New Roman"/>
                <w:sz w:val="17"/>
                <w:szCs w:val="17"/>
              </w:rPr>
              <w:t>[22]</w:t>
            </w:r>
          </w:p>
        </w:tc>
        <w:tc>
          <w:tcPr>
            <w:tcW w:type="dxa" w:w="1368"/>
            <w:vAlign w:val="center"/>
          </w:tcPr>
          <w:p>
            <w:pPr>
              <w:spacing w:after="0" w:line="240" w:lineRule="auto"/>
              <w:jc w:val="center"/>
            </w:pPr>
            <w:r>
              <w:rPr>
                <w:rFonts w:ascii="Times New Roman" w:hAnsi="Times New Roman" w:cs="Times New Roman"/>
                <w:sz w:val="17"/>
                <w:szCs w:val="17"/>
              </w:rPr>
              <w:t>?; ?</w:t>
            </w:r>
          </w:p>
        </w:tc>
        <w:tc>
          <w:tcPr>
            <w:tcW w:type="dxa" w:w="1152"/>
            <w:vAlign w:val="center"/>
          </w:tcPr>
          <w:p>
            <w:pPr>
              <w:spacing w:after="0" w:line="240" w:lineRule="auto"/>
              <w:jc w:val="center"/>
            </w:pPr>
            <w:r>
              <w:rPr>
                <w:rFonts w:ascii="Times New Roman" w:hAnsi="Times New Roman" w:cs="Times New Roman"/>
                <w:sz w:val="17"/>
                <w:szCs w:val="17"/>
              </w:rPr>
              <w:t>?</w:t>
            </w:r>
          </w:p>
        </w:tc>
        <w:tc>
          <w:tcPr>
            <w:tcW w:type="dxa" w:w="2232"/>
            <w:vAlign w:val="center"/>
          </w:tcPr>
          <w:p>
            <w:pPr>
              <w:spacing w:after="0" w:line="240" w:lineRule="auto"/>
              <w:jc w:val="center"/>
            </w:pPr>
            <w:r>
              <w:rPr>
                <w:rFonts w:ascii="Times New Roman" w:hAnsi="Times New Roman" w:cs="Times New Roman"/>
                <w:sz w:val="17"/>
                <w:szCs w:val="17"/>
              </w:rPr>
              <w:t>?; ?</w:t>
            </w:r>
          </w:p>
        </w:tc>
        <w:tc>
          <w:tcPr>
            <w:tcW w:type="dxa" w:w="1008"/>
            <w:vAlign w:val="center"/>
          </w:tcPr>
          <w:p>
            <w:pPr>
              <w:spacing w:after="0" w:line="240" w:lineRule="auto"/>
              <w:jc w:val="center"/>
            </w:pPr>
            <w:r>
              <w:rPr>
                <w:rFonts w:ascii="Times New Roman" w:hAnsi="Times New Roman" w:cs="Times New Roman"/>
                <w:sz w:val="17"/>
                <w:szCs w:val="17"/>
              </w:rPr>
              <w:t>?</w:t>
            </w:r>
          </w:p>
        </w:tc>
        <w:tc>
          <w:tcPr>
            <w:tcW w:type="dxa" w:w="864"/>
            <w:vAlign w:val="center"/>
          </w:tcPr>
          <w:p>
            <w:pPr>
              <w:spacing w:after="0" w:line="240" w:lineRule="auto"/>
              <w:jc w:val="center"/>
            </w:pP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w:t>
            </w:r>
          </w:p>
        </w:tc>
      </w:tr>
    </w:tbl>
    <w:p>
      <w:pPr>
        <w:spacing w:after="40"/>
      </w:pPr>
    </w:p>
    <w:p>
      <w:pPr>
        <w:jc w:val="both"/>
      </w:pPr>
      <w:r>
        <w:rPr>
          <w:rFonts w:ascii="Times New Roman" w:hAnsi="Times New Roman" w:cs="Times New Roman"/>
          <w:sz w:val="24"/>
          <w:szCs w:val="24"/>
        </w:rPr>
        <w:t>[Research gap: to be completed from the full texts.]</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Methodology / Proposed Work</w:t>
      </w:r>
    </w:p>
    <w:p>
      <w:pPr>
        <w:pStyle w:val="Heading2"/>
        <w:rPr>
          <w:rFonts w:ascii="Times New Roman" w:hAnsi="Times New Roman" w:cs="Times New Roman"/>
          <w:sz w:val="24"/>
          <w:szCs w:val="24"/>
        </w:rPr>
      </w:pPr>
      <w:r>
        <w:rPr>
          <w:rFonts w:ascii="Times New Roman" w:hAnsi="Times New Roman" w:cs="Times New Roman"/>
          <w:i/>
          <w:sz w:val="24"/>
          <w:szCs w:val="24"/>
        </w:rPr>
        <w:t>Design Flow</w:t>
      </w:r>
    </w:p>
    <w:p>
      <w:pPr>
        <w:jc w:val="both"/>
      </w:pPr>
      <w:r>
        <w:rPr>
          <w:rFonts w:ascii="Times New Roman" w:hAnsi="Times New Roman" w:cs="Times New Roman"/>
          <w:sz w:val="24"/>
          <w:szCs w:val="24"/>
        </w:rPr>
        <w:t>The work follows the flow of Fig. 1. The antenna is optimised first, one parameter at a time, so that the effect of each parameter is visible. The metasurface is then designed as a unit cell, placed behind the optimised antenna and compared with no reflector and with a plain metal plate at the same gap. Phase II reuses the optimised antenna as the MIMO element.</w:t>
      </w:r>
    </w:p>
    <w:p>
      <w:pPr>
        <w:keepNext/>
        <w:spacing w:after="40"/>
        <w:jc w:val="center"/>
      </w:pPr>
      <w:r>
        <w:drawing>
          <wp:inline xmlns:a="http://schemas.openxmlformats.org/drawingml/2006/main" xmlns:pic="http://schemas.openxmlformats.org/drawingml/2006/picture">
            <wp:extent cx="4937760" cy="2216888"/>
            <wp:docPr id="1" name="Picture 1"/>
            <wp:cNvGraphicFramePr>
              <a:graphicFrameLocks noChangeAspect="1"/>
            </wp:cNvGraphicFramePr>
            <a:graphic>
              <a:graphicData uri="http://schemas.openxmlformats.org/drawingml/2006/picture">
                <pic:pic>
                  <pic:nvPicPr>
                    <pic:cNvPr id="0" name="fig_design_flow.png"/>
                    <pic:cNvPicPr/>
                  </pic:nvPicPr>
                  <pic:blipFill>
                    <a:blip r:embed="rId8"/>
                    <a:stretch>
                      <a:fillRect/>
                    </a:stretch>
                  </pic:blipFill>
                  <pic:spPr>
                    <a:xfrm>
                      <a:off x="0" y="0"/>
                      <a:ext cx="4937760" cy="2216888"/>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Design flow of the project; steps 1–4 are complete.</w:t>
      </w:r>
    </w:p>
    <w:p>
      <w:pPr>
        <w:pStyle w:val="Heading2"/>
        <w:rPr>
          <w:rFonts w:ascii="Times New Roman" w:hAnsi="Times New Roman" w:cs="Times New Roman"/>
          <w:sz w:val="24"/>
          <w:szCs w:val="24"/>
        </w:rPr>
      </w:pPr>
      <w:r>
        <w:rPr>
          <w:rFonts w:ascii="Times New Roman" w:hAnsi="Times New Roman" w:cs="Times New Roman"/>
          <w:i/>
          <w:sz w:val="24"/>
          <w:szCs w:val="24"/>
        </w:rPr>
        <w:t>Antenna Design</w:t>
      </w:r>
    </w:p>
    <w:p>
      <w:pPr>
        <w:keepNext/>
        <w:jc w:val="both"/>
      </w:pPr>
      <w:r>
        <w:rPr>
          <w:rFonts w:ascii="Times New Roman" w:hAnsi="Times New Roman" w:cs="Times New Roman"/>
          <w:sz w:val="24"/>
          <w:szCs w:val="24"/>
        </w:rPr>
        <w:t>The radiator is a planar patch of radius R fed by a 50 Ω CPW line. The signal strip of width W</w:t>
      </w:r>
      <w:r>
        <w:rPr>
          <w:rFonts w:ascii="Times New Roman" w:hAnsi="Times New Roman" w:cs="Times New Roman"/>
          <w:sz w:val="24"/>
          <w:szCs w:val="24"/>
          <w:vertAlign w:val="subscript"/>
        </w:rPr>
        <w:t>f</w:t>
      </w:r>
      <w:r>
        <w:rPr>
          <w:rFonts w:ascii="Times New Roman" w:hAnsi="Times New Roman" w:cs="Times New Roman"/>
          <w:sz w:val="24"/>
          <w:szCs w:val="24"/>
        </w:rPr>
        <w:t xml:space="preserve"> is separated from the two coplanar ground planes by slots of width g, and the top edge of the ground planes lies at y = L</w:t>
      </w:r>
      <w:r>
        <w:rPr>
          <w:rFonts w:ascii="Times New Roman" w:hAnsi="Times New Roman" w:cs="Times New Roman"/>
          <w:sz w:val="24"/>
          <w:szCs w:val="24"/>
          <w:vertAlign w:val="subscript"/>
        </w:rPr>
        <w:t>g</w:t>
      </w:r>
      <w:r>
        <w:rPr>
          <w:rFonts w:ascii="Times New Roman" w:hAnsi="Times New Roman" w:cs="Times New Roman"/>
          <w:sz w:val="24"/>
          <w:szCs w:val="24"/>
        </w:rPr>
        <w:t>, so L</w:t>
      </w:r>
      <w:r>
        <w:rPr>
          <w:rFonts w:ascii="Times New Roman" w:hAnsi="Times New Roman" w:cs="Times New Roman"/>
          <w:sz w:val="24"/>
          <w:szCs w:val="24"/>
          <w:vertAlign w:val="subscript"/>
        </w:rPr>
        <w:t>g</w:t>
      </w:r>
      <w:r>
        <w:rPr>
          <w:rFonts w:ascii="Times New Roman" w:hAnsi="Times New Roman" w:cs="Times New Roman"/>
          <w:sz w:val="24"/>
          <w:szCs w:val="24"/>
        </w:rPr>
        <w:t xml:space="preserve"> sets how close the ground comes to the patch. Two quantities dominate the matching of a printed monopole: the ground geometry near the feed, which controls the coupling between patch and ground, and the patch size, which sets the lowest resonance and how the higher-order resonances overlap [6]. The lower band edge of a planar monopole can be estimated from an equivalent cylindrical monopole [5], [6]:</w:t>
      </w:r>
    </w:p>
    <w:p>
      <w:pPr>
        <w:tabs>
          <w:tab w:pos="4320" w:val="center"/>
          <w:tab w:pos="8640" w:val="right"/>
        </w:tabs>
      </w:pPr>
      <w:r>
        <w:rPr>
          <w:rFonts w:ascii="Times New Roman" w:hAnsi="Times New Roman" w:cs="Times New Roman"/>
          <w:sz w:val="24"/>
          <w:szCs w:val="24"/>
        </w:rPr>
        <w:tab/>
      </w:r>
      <m:oMath>
        <m:sSub>
          <m:e>
            <m:r>
              <m:t xml:space="preserve">f</m:t>
            </m:r>
          </m:e>
          <m:sub>
            <m:r>
              <m:rPr>
                <m:sty m:val="p"/>
              </m:rPr>
              <m:t xml:space="preserve">L</m:t>
            </m:r>
          </m:sub>
        </m:sSub>
        <m:r>
          <m:rPr>
            <m:sty m:val="p"/>
          </m:rPr>
          <m:t xml:space="preserve">≈</m:t>
        </m:r>
        <m:f>
          <m:num>
            <m:r>
              <m:rPr>
                <m:sty m:val="p"/>
              </m:rPr>
              <m:t xml:space="preserve">7.2</m:t>
            </m:r>
          </m:num>
          <m:den>
            <m:r>
              <m:t xml:space="preserve">L</m:t>
            </m:r>
            <m:r>
              <m:rPr>
                <m:sty m:val="p"/>
              </m:rPr>
              <m:t xml:space="preserve">+</m:t>
            </m:r>
            <m:r>
              <m:t xml:space="preserve">r</m:t>
            </m:r>
            <m:r>
              <m:rPr>
                <m:sty m:val="p"/>
              </m:rPr>
              <m:t xml:space="preserve">+</m:t>
            </m:r>
            <m:r>
              <m:t xml:space="preserve">p</m:t>
            </m:r>
          </m:den>
        </m:f>
        <m:r>
          <m:rPr>
            <m:sty m:val="p"/>
          </m:rPr>
          <m:t xml:space="preserve"> GHz</m:t>
        </m:r>
      </m:oMath>
      <w:r>
        <w:rPr>
          <w:rFonts w:ascii="Times New Roman" w:hAnsi="Times New Roman" w:cs="Times New Roman"/>
          <w:sz w:val="24"/>
          <w:szCs w:val="24"/>
        </w:rPr>
        <w:tab/>
        <w:t>(1)</w:t>
      </w:r>
    </w:p>
    <w:p>
      <w:pPr>
        <w:keepNext/>
        <w:jc w:val="both"/>
      </w:pPr>
      <w:r>
        <w:rPr>
          <w:rFonts w:ascii="Times New Roman" w:hAnsi="Times New Roman" w:cs="Times New Roman"/>
          <w:sz w:val="24"/>
          <w:szCs w:val="24"/>
        </w:rPr>
        <w:t>where L is the height of the patch, r the radius of the equivalent cylinder (2πrL equals the patch area) and p the gap between the patch and the ground, all in centimetres. Equation (1) ignores the substrate, which lowers the frequency further, so it serves only as a starting point for the CST sweeps. The bandwidth is reported as the fractional bandwidth</w:t>
      </w:r>
    </w:p>
    <w:p>
      <w:pPr>
        <w:tabs>
          <w:tab w:pos="4320" w:val="center"/>
          <w:tab w:pos="8640" w:val="right"/>
        </w:tabs>
      </w:pPr>
      <w:r>
        <w:rPr>
          <w:rFonts w:ascii="Times New Roman" w:hAnsi="Times New Roman" w:cs="Times New Roman"/>
          <w:sz w:val="24"/>
          <w:szCs w:val="24"/>
        </w:rPr>
        <w:tab/>
      </w:r>
      <m:oMath>
        <m:r>
          <m:rPr>
            <m:sty m:val="p"/>
          </m:rPr>
          <m:t xml:space="preserve">FBW</m:t>
        </m:r>
        <m:r>
          <m:rPr>
            <m:sty m:val="p"/>
          </m:rPr>
          <m:t xml:space="preserve">=</m:t>
        </m:r>
        <m:f>
          <m:num>
            <m:r>
              <m:rPr>
                <m:sty m:val="p"/>
              </m:rPr>
              <m:t xml:space="preserve">2</m:t>
            </m:r>
            <m:d>
              <m:dPr>
                <m:begChr m:val="("/>
                <m:endChr m:val=")"/>
              </m:dPr>
              <m:e>
                <m:sSub>
                  <m:e>
                    <m:r>
                      <m:t xml:space="preserve">f</m:t>
                    </m:r>
                  </m:e>
                  <m:sub>
                    <m:r>
                      <m:rPr>
                        <m:sty m:val="p"/>
                      </m:rPr>
                      <m:t xml:space="preserve">H</m:t>
                    </m:r>
                  </m:sub>
                </m:sSub>
                <m:r>
                  <m:rPr>
                    <m:sty m:val="p"/>
                  </m:rPr>
                  <m:t xml:space="preserve">−</m:t>
                </m:r>
                <m:sSub>
                  <m:e>
                    <m:r>
                      <m:t xml:space="preserve">f</m:t>
                    </m:r>
                  </m:e>
                  <m:sub>
                    <m:r>
                      <m:rPr>
                        <m:sty m:val="p"/>
                      </m:rPr>
                      <m:t xml:space="preserve">L</m:t>
                    </m:r>
                  </m:sub>
                </m:sSub>
              </m:e>
            </m:d>
          </m:num>
          <m:den>
            <m:sSub>
              <m:e>
                <m:r>
                  <m:t xml:space="preserve">f</m:t>
                </m:r>
              </m:e>
              <m:sub>
                <m:r>
                  <m:rPr>
                    <m:sty m:val="p"/>
                  </m:rPr>
                  <m:t xml:space="preserve">H</m:t>
                </m:r>
              </m:sub>
            </m:sSub>
            <m:r>
              <m:rPr>
                <m:sty m:val="p"/>
              </m:rPr>
              <m:t xml:space="preserve">+</m:t>
            </m:r>
            <m:sSub>
              <m:e>
                <m:r>
                  <m:t xml:space="preserve">f</m:t>
                </m:r>
              </m:e>
              <m:sub>
                <m:r>
                  <m:rPr>
                    <m:sty m:val="p"/>
                  </m:rPr>
                  <m:t xml:space="preserve">L</m:t>
                </m:r>
              </m:sub>
            </m:sSub>
          </m:den>
        </m:f>
      </m:oMath>
      <w:r>
        <w:rPr>
          <w:rFonts w:ascii="Times New Roman" w:hAnsi="Times New Roman" w:cs="Times New Roman"/>
          <w:sz w:val="24"/>
          <w:szCs w:val="24"/>
        </w:rPr>
        <w:tab/>
        <w:t>(2)</w:t>
      </w:r>
    </w:p>
    <w:p>
      <w:pPr>
        <w:keepNext/>
        <w:jc w:val="both"/>
      </w:pPr>
      <w:r>
        <w:rPr>
          <w:rFonts w:ascii="Times New Roman" w:hAnsi="Times New Roman" w:cs="Times New Roman"/>
          <w:sz w:val="24"/>
          <w:szCs w:val="24"/>
        </w:rPr>
        <w:t>where f</w:t>
      </w:r>
      <w:r>
        <w:rPr>
          <w:rFonts w:ascii="Times New Roman" w:hAnsi="Times New Roman" w:cs="Times New Roman"/>
          <w:sz w:val="24"/>
          <w:szCs w:val="24"/>
          <w:vertAlign w:val="subscript"/>
        </w:rPr>
        <w:t>L</w:t>
      </w:r>
      <w:r>
        <w:rPr>
          <w:rFonts w:ascii="Times New Roman" w:hAnsi="Times New Roman" w:cs="Times New Roman"/>
          <w:sz w:val="24"/>
          <w:szCs w:val="24"/>
        </w:rPr>
        <w:t xml:space="preserve"> and f</w:t>
      </w:r>
      <w:r>
        <w:rPr>
          <w:rFonts w:ascii="Times New Roman" w:hAnsi="Times New Roman" w:cs="Times New Roman"/>
          <w:sz w:val="24"/>
          <w:szCs w:val="24"/>
          <w:vertAlign w:val="subscript"/>
        </w:rPr>
        <w:t>H</w:t>
      </w:r>
      <w:r>
        <w:rPr>
          <w:rFonts w:ascii="Times New Roman" w:hAnsi="Times New Roman" w:cs="Times New Roman"/>
          <w:sz w:val="24"/>
          <w:szCs w:val="24"/>
        </w:rPr>
        <w:t xml:space="preserve"> are the lower and upper −10 dB frequencies; UWB operation requires f</w:t>
      </w:r>
      <w:r>
        <w:rPr>
          <w:rFonts w:ascii="Times New Roman" w:hAnsi="Times New Roman" w:cs="Times New Roman"/>
          <w:sz w:val="24"/>
          <w:szCs w:val="24"/>
          <w:vertAlign w:val="subscript"/>
        </w:rPr>
        <w:t>L</w:t>
      </w:r>
      <w:r>
        <w:rPr>
          <w:rFonts w:ascii="Times New Roman" w:hAnsi="Times New Roman" w:cs="Times New Roman"/>
          <w:sz w:val="24"/>
          <w:szCs w:val="24"/>
        </w:rPr>
        <w:t xml:space="preserve"> ≤ 3.1 GHz and f</w:t>
      </w:r>
      <w:r>
        <w:rPr>
          <w:rFonts w:ascii="Times New Roman" w:hAnsi="Times New Roman" w:cs="Times New Roman"/>
          <w:sz w:val="24"/>
          <w:szCs w:val="24"/>
          <w:vertAlign w:val="subscript"/>
        </w:rPr>
        <w:t>H</w:t>
      </w:r>
      <w:r>
        <w:rPr>
          <w:rFonts w:ascii="Times New Roman" w:hAnsi="Times New Roman" w:cs="Times New Roman"/>
          <w:sz w:val="24"/>
          <w:szCs w:val="24"/>
        </w:rPr>
        <w:t xml:space="preserve"> ≥ 10.6 GHz, i.e. FBW ≥ 109 % from (2). CST reports the IEEE gain G, which includes conduction and dielectric losses but not the mismatch at the port; the realized gain also includes the mismatch:</w:t>
      </w:r>
    </w:p>
    <w:p>
      <w:pPr>
        <w:tabs>
          <w:tab w:pos="4320" w:val="center"/>
          <w:tab w:pos="8640" w:val="right"/>
        </w:tabs>
      </w:pPr>
      <w:r>
        <w:rPr>
          <w:rFonts w:ascii="Times New Roman" w:hAnsi="Times New Roman" w:cs="Times New Roman"/>
          <w:sz w:val="24"/>
          <w:szCs w:val="24"/>
        </w:rPr>
        <w:tab/>
      </w:r>
      <m:oMath>
        <m:sSub>
          <m:e>
            <m:r>
              <m:t xml:space="preserve">G</m:t>
            </m:r>
          </m:e>
          <m:sub>
            <m:r>
              <m:rPr>
                <m:sty m:val="p"/>
              </m:rPr>
              <m:t xml:space="preserve">R</m:t>
            </m:r>
          </m:sub>
        </m:sSub>
        <m:r>
          <m:rPr>
            <m:sty m:val="p"/>
          </m:rPr>
          <m:t xml:space="preserve">=</m:t>
        </m:r>
        <m:d>
          <m:dPr>
            <m:begChr m:val="("/>
            <m:endChr m:val=")"/>
          </m:dPr>
          <m:e>
            <m:r>
              <m:rPr>
                <m:sty m:val="p"/>
              </m:rPr>
              <m:t xml:space="preserve">1</m:t>
            </m:r>
            <m:r>
              <m:rPr>
                <m:sty m:val="p"/>
              </m:rPr>
              <m:t xml:space="preserve">−</m:t>
            </m:r>
            <m:sSup>
              <m:e>
                <m:d>
                  <m:dPr>
                    <m:begChr m:val="|"/>
                    <m:endChr m:val="|"/>
                  </m:dPr>
                  <m:e>
                    <m:r>
                      <m:t xml:space="preserve">Γ</m:t>
                    </m:r>
                  </m:e>
                </m:d>
              </m:e>
              <m:sup>
                <m:r>
                  <m:rPr>
                    <m:sty m:val="p"/>
                  </m:rPr>
                  <m:t xml:space="preserve">2</m:t>
                </m:r>
              </m:sup>
            </m:sSup>
          </m:e>
        </m:d>
        <m:r>
          <m:t xml:space="preserve">G</m:t>
        </m:r>
      </m:oMath>
      <w:r>
        <w:rPr>
          <w:rFonts w:ascii="Times New Roman" w:hAnsi="Times New Roman" w:cs="Times New Roman"/>
          <w:sz w:val="24"/>
          <w:szCs w:val="24"/>
        </w:rPr>
        <w:tab/>
        <w:t>(3)</w:t>
      </w:r>
    </w:p>
    <w:p>
      <w:pPr>
        <w:jc w:val="both"/>
      </w:pPr>
      <w:r>
        <w:rPr>
          <w:rFonts w:ascii="Times New Roman" w:hAnsi="Times New Roman" w:cs="Times New Roman"/>
          <w:sz w:val="24"/>
          <w:szCs w:val="24"/>
        </w:rPr>
        <w:t>where Γ = S</w:t>
      </w:r>
      <w:r>
        <w:rPr>
          <w:rFonts w:ascii="Times New Roman" w:hAnsi="Times New Roman" w:cs="Times New Roman"/>
          <w:sz w:val="24"/>
          <w:szCs w:val="24"/>
          <w:vertAlign w:val="subscript"/>
        </w:rPr>
        <w:t>11</w:t>
      </w:r>
      <w:r>
        <w:rPr>
          <w:rFonts w:ascii="Times New Roman" w:hAnsi="Times New Roman" w:cs="Times New Roman"/>
          <w:sz w:val="24"/>
          <w:szCs w:val="24"/>
        </w:rPr>
        <w:t xml:space="preserve"> is the reflection coefficient at the port. Inside the −10 dB band |Γ|</w:t>
      </w:r>
      <w:r>
        <w:rPr>
          <w:rFonts w:ascii="Times New Roman" w:hAnsi="Times New Roman" w:cs="Times New Roman"/>
          <w:sz w:val="24"/>
          <w:szCs w:val="24"/>
          <w:vertAlign w:val="superscript"/>
        </w:rPr>
        <w:t>2</w:t>
      </w:r>
      <w:r>
        <w:rPr>
          <w:rFonts w:ascii="Times New Roman" w:hAnsi="Times New Roman" w:cs="Times New Roman"/>
          <w:sz w:val="24"/>
          <w:szCs w:val="24"/>
        </w:rPr>
        <w:t xml:space="preserve"> ≤ 0.1, so the realized gain is at most 0.46 dB below the IEEE gain (computed from (3)). Table 3 lists the antenna dimensions.</w:t>
      </w: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Dimensions of the optimised antenna (mm).</w:t>
      </w:r>
    </w:p>
    <w:tbl>
      <w:tblPr>
        <w:tblStyle w:val="TableGrid"/>
        <w:tblW w:type="auto" w:w="0"/>
        <w:jc w:val="center"/>
        <w:tblLayout w:type="fixed"/>
        <w:tblLook w:firstColumn="1" w:firstRow="1" w:lastColumn="0" w:lastRow="0" w:noHBand="0" w:noVBand="1" w:val="04A0"/>
      </w:tblPr>
      <w:tblGrid>
        <w:gridCol w:w="1728"/>
        <w:gridCol w:w="5184"/>
        <w:gridCol w:w="1728"/>
      </w:tblGrid>
      <w:tr>
        <w:trPr>
          <w:tblHeader/>
        </w:trPr>
        <w:tc>
          <w:tcPr>
            <w:tcW w:type="dxa" w:w="1728"/>
            <w:vAlign w:val="center"/>
            <w:shd w:val="clear" w:color="auto" w:fill="D9D9D9"/>
          </w:tcPr>
          <w:p>
            <w:pPr>
              <w:spacing w:after="0" w:line="240" w:lineRule="auto"/>
              <w:jc w:val="left"/>
            </w:pPr>
            <w:r>
              <w:rPr>
                <w:rFonts w:ascii="Times New Roman" w:hAnsi="Times New Roman" w:cs="Times New Roman"/>
                <w:b/>
                <w:sz w:val="20"/>
                <w:szCs w:val="20"/>
              </w:rPr>
              <w:t>Symbol</w:t>
            </w:r>
          </w:p>
        </w:tc>
        <w:tc>
          <w:tcPr>
            <w:tcW w:type="dxa" w:w="5184"/>
            <w:vAlign w:val="center"/>
            <w:shd w:val="clear" w:color="auto" w:fill="D9D9D9"/>
          </w:tcPr>
          <w:p>
            <w:pPr>
              <w:spacing w:after="0" w:line="240" w:lineRule="auto"/>
              <w:jc w:val="center"/>
            </w:pPr>
            <w:r>
              <w:rPr>
                <w:rFonts w:ascii="Times New Roman" w:hAnsi="Times New Roman" w:cs="Times New Roman"/>
                <w:b/>
                <w:sz w:val="20"/>
                <w:szCs w:val="20"/>
              </w:rPr>
              <w:t>Description</w:t>
            </w:r>
          </w:p>
        </w:tc>
        <w:tc>
          <w:tcPr>
            <w:tcW w:type="dxa" w:w="1728"/>
            <w:vAlign w:val="center"/>
            <w:shd w:val="clear" w:color="auto" w:fill="D9D9D9"/>
          </w:tcPr>
          <w:p>
            <w:pPr>
              <w:spacing w:after="0" w:line="240" w:lineRule="auto"/>
              <w:jc w:val="center"/>
            </w:pPr>
            <w:r>
              <w:rPr>
                <w:rFonts w:ascii="Times New Roman" w:hAnsi="Times New Roman" w:cs="Times New Roman"/>
                <w:b/>
                <w:sz w:val="20"/>
                <w:szCs w:val="20"/>
              </w:rPr>
              <w:t>Value</w:t>
            </w:r>
          </w:p>
        </w:tc>
      </w:tr>
      <w:tr>
        <w:tc>
          <w:tcPr>
            <w:tcW w:type="dxa" w:w="1728"/>
            <w:vAlign w:val="center"/>
          </w:tcPr>
          <w:p>
            <w:pPr>
              <w:spacing w:after="0" w:line="240" w:lineRule="auto"/>
              <w:jc w:val="left"/>
            </w:pPr>
            <w:r>
              <w:rPr>
                <w:rFonts w:ascii="Times New Roman" w:hAnsi="Times New Roman" w:cs="Times New Roman"/>
                <w:sz w:val="20"/>
                <w:szCs w:val="20"/>
              </w:rPr>
              <w:t>W</w:t>
            </w:r>
            <w:r>
              <w:rPr>
                <w:rFonts w:ascii="Times New Roman" w:hAnsi="Times New Roman" w:cs="Times New Roman"/>
                <w:sz w:val="20"/>
                <w:szCs w:val="20"/>
                <w:vertAlign w:val="subscript"/>
              </w:rPr>
              <w:t>s</w:t>
            </w:r>
            <w:r>
              <w:rPr>
                <w:rFonts w:ascii="Times New Roman" w:hAnsi="Times New Roman" w:cs="Times New Roman"/>
                <w:sz w:val="20"/>
                <w:szCs w:val="20"/>
              </w:rPr>
              <w:t xml:space="preserve"> × L</w:t>
            </w:r>
            <w:r>
              <w:rPr>
                <w:rFonts w:ascii="Times New Roman" w:hAnsi="Times New Roman" w:cs="Times New Roman"/>
                <w:sz w:val="20"/>
                <w:szCs w:val="20"/>
                <w:vertAlign w:val="subscript"/>
              </w:rPr>
              <w:t>s</w:t>
            </w:r>
          </w:p>
        </w:tc>
        <w:tc>
          <w:tcPr>
            <w:tcW w:type="dxa" w:w="5184"/>
            <w:vAlign w:val="center"/>
          </w:tcPr>
          <w:p>
            <w:pPr>
              <w:spacing w:after="0" w:line="240" w:lineRule="auto"/>
              <w:jc w:val="center"/>
            </w:pPr>
            <w:r>
              <w:rPr>
                <w:rFonts w:ascii="Times New Roman" w:hAnsi="Times New Roman" w:cs="Times New Roman"/>
                <w:sz w:val="20"/>
                <w:szCs w:val="20"/>
              </w:rPr>
              <w:t>Substrate (board) size</w:t>
            </w:r>
          </w:p>
        </w:tc>
        <w:tc>
          <w:tcPr>
            <w:tcW w:type="dxa" w:w="1728"/>
            <w:vAlign w:val="center"/>
          </w:tcPr>
          <w:p>
            <w:pPr>
              <w:spacing w:after="0" w:line="240" w:lineRule="auto"/>
              <w:jc w:val="center"/>
            </w:pPr>
            <w:r>
              <w:rPr>
                <w:rFonts w:ascii="Times New Roman" w:hAnsi="Times New Roman" w:cs="Times New Roman"/>
                <w:sz w:val="20"/>
                <w:szCs w:val="20"/>
              </w:rPr>
              <w:t>pending</w:t>
            </w:r>
          </w:p>
        </w:tc>
      </w:tr>
      <w:tr>
        <w:tc>
          <w:tcPr>
            <w:tcW w:type="dxa" w:w="1728"/>
            <w:vAlign w:val="center"/>
          </w:tcPr>
          <w:p>
            <w:pPr>
              <w:spacing w:after="0" w:line="240" w:lineRule="auto"/>
              <w:jc w:val="left"/>
            </w:pPr>
            <w:r>
              <w:rPr>
                <w:rFonts w:ascii="Times New Roman" w:hAnsi="Times New Roman" w:cs="Times New Roman"/>
                <w:sz w:val="20"/>
                <w:szCs w:val="20"/>
              </w:rPr>
              <w:t>h</w:t>
            </w:r>
            <w:r>
              <w:rPr>
                <w:rFonts w:ascii="Times New Roman" w:hAnsi="Times New Roman" w:cs="Times New Roman"/>
                <w:sz w:val="20"/>
                <w:szCs w:val="20"/>
                <w:vertAlign w:val="subscript"/>
              </w:rPr>
              <w:t>s</w:t>
            </w:r>
          </w:p>
        </w:tc>
        <w:tc>
          <w:tcPr>
            <w:tcW w:type="dxa" w:w="5184"/>
            <w:vAlign w:val="center"/>
          </w:tcPr>
          <w:p>
            <w:pPr>
              <w:spacing w:after="0" w:line="240" w:lineRule="auto"/>
              <w:jc w:val="center"/>
            </w:pPr>
            <w:r>
              <w:rPr>
                <w:rFonts w:ascii="Times New Roman" w:hAnsi="Times New Roman" w:cs="Times New Roman"/>
                <w:sz w:val="20"/>
                <w:szCs w:val="20"/>
              </w:rPr>
              <w:t>Substrate thickness</w:t>
            </w:r>
          </w:p>
        </w:tc>
        <w:tc>
          <w:tcPr>
            <w:tcW w:type="dxa" w:w="1728"/>
            <w:vAlign w:val="center"/>
          </w:tcPr>
          <w:p>
            <w:pPr>
              <w:spacing w:after="0" w:line="240" w:lineRule="auto"/>
              <w:jc w:val="center"/>
            </w:pPr>
            <w:r>
              <w:rPr>
                <w:rFonts w:ascii="Times New Roman" w:hAnsi="Times New Roman" w:cs="Times New Roman"/>
                <w:sz w:val="20"/>
                <w:szCs w:val="20"/>
              </w:rPr>
              <w:t>pending</w:t>
            </w:r>
          </w:p>
        </w:tc>
      </w:tr>
      <w:tr>
        <w:tc>
          <w:tcPr>
            <w:tcW w:type="dxa" w:w="1728"/>
            <w:vAlign w:val="center"/>
          </w:tcPr>
          <w:p>
            <w:pPr>
              <w:spacing w:after="0" w:line="240" w:lineRule="auto"/>
              <w:jc w:val="left"/>
            </w:pPr>
            <w:r>
              <w:rPr>
                <w:rFonts w:ascii="Times New Roman" w:hAnsi="Times New Roman" w:cs="Times New Roman"/>
                <w:sz w:val="20"/>
                <w:szCs w:val="20"/>
              </w:rPr>
              <w:t>R</w:t>
            </w:r>
          </w:p>
        </w:tc>
        <w:tc>
          <w:tcPr>
            <w:tcW w:type="dxa" w:w="5184"/>
            <w:vAlign w:val="center"/>
          </w:tcPr>
          <w:p>
            <w:pPr>
              <w:spacing w:after="0" w:line="240" w:lineRule="auto"/>
              <w:jc w:val="center"/>
            </w:pPr>
            <w:r>
              <w:rPr>
                <w:rFonts w:ascii="Times New Roman" w:hAnsi="Times New Roman" w:cs="Times New Roman"/>
                <w:sz w:val="20"/>
                <w:szCs w:val="20"/>
              </w:rPr>
              <w:t>Radius of the radiating patch</w:t>
            </w:r>
          </w:p>
        </w:tc>
        <w:tc>
          <w:tcPr>
            <w:tcW w:type="dxa" w:w="1728"/>
            <w:vAlign w:val="center"/>
          </w:tcPr>
          <w:p>
            <w:pPr>
              <w:spacing w:after="0" w:line="240" w:lineRule="auto"/>
              <w:jc w:val="center"/>
            </w:pPr>
            <w:r>
              <w:rPr>
                <w:rFonts w:ascii="Times New Roman" w:hAnsi="Times New Roman" w:cs="Times New Roman"/>
                <w:sz w:val="20"/>
                <w:szCs w:val="20"/>
              </w:rPr>
              <w:t>15</w:t>
            </w:r>
          </w:p>
        </w:tc>
      </w:tr>
      <w:tr>
        <w:tc>
          <w:tcPr>
            <w:tcW w:type="dxa" w:w="1728"/>
            <w:vAlign w:val="center"/>
          </w:tcPr>
          <w:p>
            <w:pPr>
              <w:spacing w:after="0" w:line="240" w:lineRule="auto"/>
              <w:jc w:val="left"/>
            </w:pPr>
            <w:r>
              <w:rPr>
                <w:rFonts w:ascii="Times New Roman" w:hAnsi="Times New Roman" w:cs="Times New Roman"/>
                <w:sz w:val="20"/>
                <w:szCs w:val="20"/>
              </w:rPr>
              <w:t>L</w:t>
            </w:r>
            <w:r>
              <w:rPr>
                <w:rFonts w:ascii="Times New Roman" w:hAnsi="Times New Roman" w:cs="Times New Roman"/>
                <w:sz w:val="20"/>
                <w:szCs w:val="20"/>
                <w:vertAlign w:val="subscript"/>
              </w:rPr>
              <w:t>g</w:t>
            </w:r>
          </w:p>
        </w:tc>
        <w:tc>
          <w:tcPr>
            <w:tcW w:type="dxa" w:w="5184"/>
            <w:vAlign w:val="center"/>
          </w:tcPr>
          <w:p>
            <w:pPr>
              <w:spacing w:after="0" w:line="240" w:lineRule="auto"/>
              <w:jc w:val="center"/>
            </w:pPr>
            <w:r>
              <w:rPr>
                <w:rFonts w:ascii="Times New Roman" w:hAnsi="Times New Roman" w:cs="Times New Roman"/>
                <w:sz w:val="20"/>
                <w:szCs w:val="20"/>
              </w:rPr>
              <w:t>y-coordinate of the top edge of the CPW ground planes</w:t>
            </w:r>
          </w:p>
        </w:tc>
        <w:tc>
          <w:tcPr>
            <w:tcW w:type="dxa" w:w="1728"/>
            <w:vAlign w:val="center"/>
          </w:tcPr>
          <w:p>
            <w:pPr>
              <w:spacing w:after="0" w:line="240" w:lineRule="auto"/>
              <w:jc w:val="center"/>
            </w:pPr>
            <w:r>
              <w:rPr>
                <w:rFonts w:ascii="Times New Roman" w:hAnsi="Times New Roman" w:cs="Times New Roman"/>
                <w:sz w:val="20"/>
                <w:szCs w:val="20"/>
              </w:rPr>
              <w:t>−7</w:t>
            </w:r>
          </w:p>
        </w:tc>
      </w:tr>
      <w:tr>
        <w:tc>
          <w:tcPr>
            <w:tcW w:type="dxa" w:w="1728"/>
            <w:vAlign w:val="center"/>
          </w:tcPr>
          <w:p>
            <w:pPr>
              <w:spacing w:after="0" w:line="240" w:lineRule="auto"/>
              <w:jc w:val="left"/>
            </w:pPr>
            <w:r>
              <w:rPr>
                <w:rFonts w:ascii="Times New Roman" w:hAnsi="Times New Roman" w:cs="Times New Roman"/>
                <w:sz w:val="20"/>
                <w:szCs w:val="20"/>
              </w:rPr>
              <w:t>W</w:t>
            </w:r>
            <w:r>
              <w:rPr>
                <w:rFonts w:ascii="Times New Roman" w:hAnsi="Times New Roman" w:cs="Times New Roman"/>
                <w:sz w:val="20"/>
                <w:szCs w:val="20"/>
                <w:vertAlign w:val="subscript"/>
              </w:rPr>
              <w:t>f</w:t>
            </w:r>
          </w:p>
        </w:tc>
        <w:tc>
          <w:tcPr>
            <w:tcW w:type="dxa" w:w="5184"/>
            <w:vAlign w:val="center"/>
          </w:tcPr>
          <w:p>
            <w:pPr>
              <w:spacing w:after="0" w:line="240" w:lineRule="auto"/>
              <w:jc w:val="center"/>
            </w:pPr>
            <w:r>
              <w:rPr>
                <w:rFonts w:ascii="Times New Roman" w:hAnsi="Times New Roman" w:cs="Times New Roman"/>
                <w:sz w:val="20"/>
                <w:szCs w:val="20"/>
              </w:rPr>
              <w:t>Width of the CPW signal strip</w:t>
            </w:r>
          </w:p>
        </w:tc>
        <w:tc>
          <w:tcPr>
            <w:tcW w:type="dxa" w:w="1728"/>
            <w:vAlign w:val="center"/>
          </w:tcPr>
          <w:p>
            <w:pPr>
              <w:spacing w:after="0" w:line="240" w:lineRule="auto"/>
              <w:jc w:val="center"/>
            </w:pPr>
            <w:r>
              <w:rPr>
                <w:rFonts w:ascii="Times New Roman" w:hAnsi="Times New Roman" w:cs="Times New Roman"/>
                <w:sz w:val="20"/>
                <w:szCs w:val="20"/>
              </w:rPr>
              <w:t>pending</w:t>
            </w:r>
          </w:p>
        </w:tc>
      </w:tr>
      <w:tr>
        <w:tc>
          <w:tcPr>
            <w:tcW w:type="dxa" w:w="1728"/>
            <w:vAlign w:val="center"/>
          </w:tcPr>
          <w:p>
            <w:pPr>
              <w:spacing w:after="0" w:line="240" w:lineRule="auto"/>
              <w:jc w:val="left"/>
            </w:pPr>
            <w:r>
              <w:rPr>
                <w:rFonts w:ascii="Times New Roman" w:hAnsi="Times New Roman" w:cs="Times New Roman"/>
                <w:sz w:val="20"/>
                <w:szCs w:val="20"/>
              </w:rPr>
              <w:t>g</w:t>
            </w:r>
          </w:p>
        </w:tc>
        <w:tc>
          <w:tcPr>
            <w:tcW w:type="dxa" w:w="5184"/>
            <w:vAlign w:val="center"/>
          </w:tcPr>
          <w:p>
            <w:pPr>
              <w:spacing w:after="0" w:line="240" w:lineRule="auto"/>
              <w:jc w:val="center"/>
            </w:pPr>
            <w:r>
              <w:rPr>
                <w:rFonts w:ascii="Times New Roman" w:hAnsi="Times New Roman" w:cs="Times New Roman"/>
                <w:sz w:val="20"/>
                <w:szCs w:val="20"/>
              </w:rPr>
              <w:t>Width of the CPW slots</w:t>
            </w:r>
          </w:p>
        </w:tc>
        <w:tc>
          <w:tcPr>
            <w:tcW w:type="dxa" w:w="1728"/>
            <w:vAlign w:val="center"/>
          </w:tcPr>
          <w:p>
            <w:pPr>
              <w:spacing w:after="0" w:line="240" w:lineRule="auto"/>
              <w:jc w:val="center"/>
            </w:pPr>
            <w:r>
              <w:rPr>
                <w:rFonts w:ascii="Times New Roman" w:hAnsi="Times New Roman" w:cs="Times New Roman"/>
                <w:sz w:val="20"/>
                <w:szCs w:val="20"/>
              </w:rPr>
              <w:t>pending</w:t>
            </w:r>
          </w:p>
        </w:tc>
      </w:tr>
    </w:tbl>
    <w:p>
      <w:pPr>
        <w:spacing w:after="40"/>
      </w:pPr>
    </w:p>
    <w:p>
      <w:pPr>
        <w:pStyle w:val="Heading2"/>
        <w:rPr>
          <w:rFonts w:ascii="Times New Roman" w:hAnsi="Times New Roman" w:cs="Times New Roman"/>
          <w:sz w:val="24"/>
          <w:szCs w:val="24"/>
        </w:rPr>
      </w:pPr>
      <w:r>
        <w:rPr>
          <w:rFonts w:ascii="Times New Roman" w:hAnsi="Times New Roman" w:cs="Times New Roman"/>
          <w:i/>
          <w:sz w:val="24"/>
          <w:szCs w:val="24"/>
        </w:rPr>
        <w:t>Split-Ring-Resonator Metasurface</w:t>
      </w:r>
    </w:p>
    <w:p>
      <w:pPr>
        <w:keepNext/>
        <w:jc w:val="both"/>
      </w:pPr>
      <w:r>
        <w:rPr>
          <w:rFonts w:ascii="Times New Roman" w:hAnsi="Times New Roman" w:cs="Times New Roman"/>
          <w:sz w:val="24"/>
          <w:szCs w:val="24"/>
        </w:rPr>
        <w:t>Each metasurface cell is a single split-ring resonator: a metal ring interrupted by one split. The ring behaves as an inductance L and the split as a capacitance C [12], so the cell resonates at</w:t>
      </w:r>
    </w:p>
    <w:p>
      <w:pPr>
        <w:tabs>
          <w:tab w:pos="4320" w:val="center"/>
          <w:tab w:pos="8640" w:val="right"/>
        </w:tabs>
      </w:pPr>
      <w:r>
        <w:rPr>
          <w:rFonts w:ascii="Times New Roman" w:hAnsi="Times New Roman" w:cs="Times New Roman"/>
          <w:sz w:val="24"/>
          <w:szCs w:val="24"/>
        </w:rPr>
        <w:tab/>
      </w:r>
      <m:oMath>
        <m:sSub>
          <m:e>
            <m:r>
              <m:t xml:space="preserve">f</m:t>
            </m:r>
          </m:e>
          <m:sub>
            <m:r>
              <m:rPr>
                <m:sty m:val="p"/>
              </m:rPr>
              <m:t xml:space="preserve">0</m:t>
            </m:r>
          </m:sub>
        </m:sSub>
        <m:r>
          <m:rPr>
            <m:sty m:val="p"/>
          </m:rPr>
          <m:t xml:space="preserve">=</m:t>
        </m:r>
        <m:f>
          <m:num>
            <m:r>
              <m:rPr>
                <m:sty m:val="p"/>
              </m:rPr>
              <m:t xml:space="preserve">1</m:t>
            </m:r>
          </m:num>
          <m:den>
            <m:r>
              <m:rPr>
                <m:sty m:val="p"/>
              </m:rPr>
              <m:t xml:space="preserve">2</m:t>
            </m:r>
            <m:r>
              <m:t xml:space="preserve">π</m:t>
            </m:r>
            <m:rad>
              <m:radPr>
                <m:degHide m:val="1"/>
              </m:radPr>
              <m:deg/>
              <m:e>
                <m:r>
                  <m:t xml:space="preserve">L</m:t>
                </m:r>
                <m:r>
                  <m:t xml:space="preserve">C</m:t>
                </m:r>
              </m:e>
            </m:rad>
          </m:den>
        </m:f>
      </m:oMath>
      <w:r>
        <w:rPr>
          <w:rFonts w:ascii="Times New Roman" w:hAnsi="Times New Roman" w:cs="Times New Roman"/>
          <w:sz w:val="24"/>
          <w:szCs w:val="24"/>
        </w:rPr>
        <w:tab/>
        <w:t>(4)</w:t>
      </w:r>
    </w:p>
    <w:p>
      <w:pPr>
        <w:jc w:val="both"/>
      </w:pPr>
      <w:r>
        <w:rPr>
          <w:rFonts w:ascii="Times New Roman" w:hAnsi="Times New Roman" w:cs="Times New Roman"/>
          <w:sz w:val="24"/>
          <w:szCs w:val="24"/>
        </w:rPr>
        <w:t>A larger ring raises L and a narrower split raises C, and both lower f</w:t>
      </w:r>
      <w:r>
        <w:rPr>
          <w:rFonts w:ascii="Times New Roman" w:hAnsi="Times New Roman" w:cs="Times New Roman"/>
          <w:sz w:val="24"/>
          <w:szCs w:val="24"/>
          <w:vertAlign w:val="subscript"/>
        </w:rPr>
        <w:t>0</w:t>
      </w:r>
      <w:r>
        <w:rPr>
          <w:rFonts w:ascii="Times New Roman" w:hAnsi="Times New Roman" w:cs="Times New Roman"/>
          <w:sz w:val="24"/>
          <w:szCs w:val="24"/>
        </w:rPr>
        <w:t xml:space="preserve"> in (4). The cell is characterised on its own with unit-cell (periodic) boundaries and a Floquet port, which gives the reflection phase φ</w:t>
      </w:r>
      <w:r>
        <w:rPr>
          <w:rFonts w:ascii="Times New Roman" w:hAnsi="Times New Roman" w:cs="Times New Roman"/>
          <w:sz w:val="24"/>
          <w:szCs w:val="24"/>
          <w:vertAlign w:val="subscript"/>
        </w:rPr>
        <w:t>R</w:t>
      </w:r>
      <w:r>
        <w:rPr>
          <w:rFonts w:ascii="Times New Roman" w:hAnsi="Times New Roman" w:cs="Times New Roman"/>
          <w:sz w:val="24"/>
          <w:szCs w:val="24"/>
        </w:rPr>
        <w:t xml:space="preserve"> of an infinite array under normal incidence. Near resonance an in-phase reflector has φ</w:t>
      </w:r>
      <w:r>
        <w:rPr>
          <w:rFonts w:ascii="Times New Roman" w:hAnsi="Times New Roman" w:cs="Times New Roman"/>
          <w:sz w:val="24"/>
          <w:szCs w:val="24"/>
          <w:vertAlign w:val="subscript"/>
        </w:rPr>
        <w:t>R</w:t>
      </w:r>
      <w:r>
        <w:rPr>
          <w:rFonts w:ascii="Times New Roman" w:hAnsi="Times New Roman" w:cs="Times New Roman"/>
          <w:sz w:val="24"/>
          <w:szCs w:val="24"/>
        </w:rPr>
        <w:t xml:space="preserve"> close to 0°, and its useful band is usually taken as the range where φ</w:t>
      </w:r>
      <w:r>
        <w:rPr>
          <w:rFonts w:ascii="Times New Roman" w:hAnsi="Times New Roman" w:cs="Times New Roman"/>
          <w:sz w:val="24"/>
          <w:szCs w:val="24"/>
          <w:vertAlign w:val="subscript"/>
        </w:rPr>
        <w:t>R</w:t>
      </w:r>
      <w:r>
        <w:rPr>
          <w:rFonts w:ascii="Times New Roman" w:hAnsi="Times New Roman" w:cs="Times New Roman"/>
          <w:sz w:val="24"/>
          <w:szCs w:val="24"/>
        </w:rPr>
        <w:t xml:space="preserve"> stays within ±90° [10], [11].</w:t>
      </w:r>
    </w:p>
    <w:p>
      <w:pPr>
        <w:pStyle w:val="Heading2"/>
        <w:rPr>
          <w:rFonts w:ascii="Times New Roman" w:hAnsi="Times New Roman" w:cs="Times New Roman"/>
          <w:sz w:val="24"/>
          <w:szCs w:val="24"/>
        </w:rPr>
      </w:pPr>
      <w:r>
        <w:rPr>
          <w:rFonts w:ascii="Times New Roman" w:hAnsi="Times New Roman" w:cs="Times New Roman"/>
          <w:i/>
          <w:sz w:val="24"/>
          <w:szCs w:val="24"/>
        </w:rPr>
        <w:t>Antenna with the Metasurface Reflector</w:t>
      </w:r>
    </w:p>
    <w:p>
      <w:pPr>
        <w:jc w:val="both"/>
      </w:pPr>
      <w:r>
        <w:rPr>
          <w:rFonts w:ascii="Times New Roman" w:hAnsi="Times New Roman" w:cs="Times New Roman"/>
          <w:sz w:val="24"/>
          <w:szCs w:val="24"/>
        </w:rPr>
        <w:t>The metasurface is placed 3.9 mm behind the antenna substrate with only air in between (Fig. 2).</w:t>
      </w:r>
    </w:p>
    <w:p>
      <w:pPr>
        <w:keepNext/>
        <w:spacing w:after="40"/>
        <w:jc w:val="center"/>
      </w:pPr>
      <w:r>
        <w:drawing>
          <wp:inline xmlns:a="http://schemas.openxmlformats.org/drawingml/2006/main" xmlns:pic="http://schemas.openxmlformats.org/drawingml/2006/picture">
            <wp:extent cx="4023360" cy="1751405"/>
            <wp:docPr id="2" name="Picture 2"/>
            <wp:cNvGraphicFramePr>
              <a:graphicFrameLocks noChangeAspect="1"/>
            </wp:cNvGraphicFramePr>
            <a:graphic>
              <a:graphicData uri="http://schemas.openxmlformats.org/drawingml/2006/picture">
                <pic:pic>
                  <pic:nvPicPr>
                    <pic:cNvPr id="0" name="fig_stackup.png"/>
                    <pic:cNvPicPr/>
                  </pic:nvPicPr>
                  <pic:blipFill>
                    <a:blip r:embed="rId9"/>
                    <a:stretch>
                      <a:fillRect/>
                    </a:stretch>
                  </pic:blipFill>
                  <pic:spPr>
                    <a:xfrm>
                      <a:off x="0" y="0"/>
                      <a:ext cx="4023360" cy="1751405"/>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Side view of the antenna, the 3.9 mm air gap and the SRR metasurface (schematic, not to scale).</w:t>
      </w:r>
    </w:p>
    <w:p>
      <w:pPr>
        <w:keepNext/>
        <w:jc w:val="both"/>
      </w:pPr>
      <w:r>
        <w:rPr>
          <w:rFonts w:ascii="Times New Roman" w:hAnsi="Times New Roman" w:cs="Times New Roman"/>
          <w:sz w:val="24"/>
          <w:szCs w:val="24"/>
        </w:rPr>
        <w:t>The wave radiated backwards travels to the metasurface and back, a round trip of 2h, and is reflected with phase φ</w:t>
      </w:r>
      <w:r>
        <w:rPr>
          <w:rFonts w:ascii="Times New Roman" w:hAnsi="Times New Roman" w:cs="Times New Roman"/>
          <w:sz w:val="24"/>
          <w:szCs w:val="24"/>
          <w:vertAlign w:val="subscript"/>
        </w:rPr>
        <w:t>R</w:t>
      </w:r>
      <w:r>
        <w:rPr>
          <w:rFonts w:ascii="Times New Roman" w:hAnsi="Times New Roman" w:cs="Times New Roman"/>
          <w:sz w:val="24"/>
          <w:szCs w:val="24"/>
        </w:rPr>
        <w:t>. It adds constructively to the forward wave when</w:t>
      </w:r>
    </w:p>
    <w:p>
      <w:pPr>
        <w:tabs>
          <w:tab w:pos="4320" w:val="center"/>
          <w:tab w:pos="8640" w:val="right"/>
        </w:tabs>
      </w:pPr>
      <w:r>
        <w:rPr>
          <w:rFonts w:ascii="Times New Roman" w:hAnsi="Times New Roman" w:cs="Times New Roman"/>
          <w:sz w:val="24"/>
          <w:szCs w:val="24"/>
        </w:rPr>
        <w:tab/>
      </w:r>
      <m:oMath>
        <m:sSub>
          <m:e>
            <m:r>
              <m:t xml:space="preserve">φ</m:t>
            </m:r>
          </m:e>
          <m:sub>
            <m:r>
              <m:rPr>
                <m:sty m:val="p"/>
              </m:rPr>
              <m:t xml:space="preserve">R</m:t>
            </m:r>
          </m:sub>
        </m:sSub>
        <m:r>
          <m:rPr>
            <m:sty m:val="p"/>
          </m:rPr>
          <m:t xml:space="preserve">−2</m:t>
        </m:r>
        <m:sSub>
          <m:e>
            <m:r>
              <m:t xml:space="preserve">k</m:t>
            </m:r>
          </m:e>
          <m:sub>
            <m:r>
              <m:rPr>
                <m:sty m:val="p"/>
              </m:rPr>
              <m:t xml:space="preserve">0</m:t>
            </m:r>
          </m:sub>
        </m:sSub>
        <m:r>
          <m:t xml:space="preserve">h</m:t>
        </m:r>
        <m:r>
          <m:rPr>
            <m:sty m:val="p"/>
          </m:rPr>
          <m:t xml:space="preserve">=2</m:t>
        </m:r>
        <m:r>
          <m:t xml:space="preserve">n</m:t>
        </m:r>
        <m:r>
          <m:t xml:space="preserve">π</m:t>
        </m:r>
      </m:oMath>
      <w:r>
        <w:rPr>
          <w:rFonts w:ascii="Times New Roman" w:hAnsi="Times New Roman" w:cs="Times New Roman"/>
          <w:sz w:val="24"/>
          <w:szCs w:val="24"/>
        </w:rPr>
        <w:tab/>
        <w:t>(5)</w:t>
      </w:r>
    </w:p>
    <w:p>
      <w:pPr>
        <w:jc w:val="both"/>
      </w:pPr>
      <w:r>
        <w:rPr>
          <w:rFonts w:ascii="Times New Roman" w:hAnsi="Times New Roman" w:cs="Times New Roman"/>
          <w:sz w:val="24"/>
          <w:szCs w:val="24"/>
        </w:rPr>
        <w:t>where k</w:t>
      </w:r>
      <w:r>
        <w:rPr>
          <w:rFonts w:ascii="Times New Roman" w:hAnsi="Times New Roman" w:cs="Times New Roman"/>
          <w:sz w:val="24"/>
          <w:szCs w:val="24"/>
          <w:vertAlign w:val="subscript"/>
        </w:rPr>
        <w:t>0</w:t>
      </w:r>
      <w:r>
        <w:rPr>
          <w:rFonts w:ascii="Times New Roman" w:hAnsi="Times New Roman" w:cs="Times New Roman"/>
          <w:sz w:val="24"/>
          <w:szCs w:val="24"/>
        </w:rPr>
        <w:t xml:space="preserve"> = 2π/λ</w:t>
      </w:r>
      <w:r>
        <w:rPr>
          <w:rFonts w:ascii="Times New Roman" w:hAnsi="Times New Roman" w:cs="Times New Roman"/>
          <w:sz w:val="24"/>
          <w:szCs w:val="24"/>
          <w:vertAlign w:val="subscript"/>
        </w:rPr>
        <w:t>0</w:t>
      </w:r>
      <w:r>
        <w:rPr>
          <w:rFonts w:ascii="Times New Roman" w:hAnsi="Times New Roman" w:cs="Times New Roman"/>
          <w:sz w:val="24"/>
          <w:szCs w:val="24"/>
        </w:rPr>
        <w:t xml:space="preserve"> and n is an integer; the reflection still helps as long as the phase error stays within ±90°. A metal (PEC) plate has φ</w:t>
      </w:r>
      <w:r>
        <w:rPr>
          <w:rFonts w:ascii="Times New Roman" w:hAnsi="Times New Roman" w:cs="Times New Roman"/>
          <w:sz w:val="24"/>
          <w:szCs w:val="24"/>
          <w:vertAlign w:val="subscript"/>
        </w:rPr>
        <w:t>R</w:t>
      </w:r>
      <w:r>
        <w:rPr>
          <w:rFonts w:ascii="Times New Roman" w:hAnsi="Times New Roman" w:cs="Times New Roman"/>
          <w:sz w:val="24"/>
          <w:szCs w:val="24"/>
        </w:rPr>
        <w:t xml:space="preserve"> = 180°, so (5) would require h = λ</w:t>
      </w:r>
      <w:r>
        <w:rPr>
          <w:rFonts w:ascii="Times New Roman" w:hAnsi="Times New Roman" w:cs="Times New Roman"/>
          <w:sz w:val="24"/>
          <w:szCs w:val="24"/>
          <w:vertAlign w:val="subscript"/>
        </w:rPr>
        <w:t>0</w:t>
      </w:r>
      <w:r>
        <w:rPr>
          <w:rFonts w:ascii="Times New Roman" w:hAnsi="Times New Roman" w:cs="Times New Roman"/>
          <w:sz w:val="24"/>
          <w:szCs w:val="24"/>
        </w:rPr>
        <w:t>/4. Table 4 and Fig. 3 evaluate (5) at h = 3.9 mm (computed, not simulated).</w:t>
      </w: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Reflection phase needed at h = 3.9 mm and the error of a metal plate (computed from equation (5)).</w:t>
      </w:r>
    </w:p>
    <w:tbl>
      <w:tblPr>
        <w:tblStyle w:val="TableGrid"/>
        <w:tblW w:type="auto" w:w="0"/>
        <w:jc w:val="center"/>
        <w:tblLayout w:type="fixed"/>
        <w:tblLook w:firstColumn="1" w:firstRow="1" w:lastColumn="0" w:lastRow="0" w:noHBand="0" w:noVBand="1" w:val="04A0"/>
      </w:tblPr>
      <w:tblGrid>
        <w:gridCol w:w="1080"/>
        <w:gridCol w:w="1152"/>
        <w:gridCol w:w="1080"/>
        <w:gridCol w:w="1872"/>
        <w:gridCol w:w="1944"/>
        <w:gridCol w:w="1512"/>
      </w:tblGrid>
      <w:tr>
        <w:trPr>
          <w:tblHeader/>
        </w:trPr>
        <w:tc>
          <w:tcPr>
            <w:tcW w:type="dxa" w:w="1080"/>
            <w:vAlign w:val="center"/>
            <w:shd w:val="clear" w:color="auto" w:fill="D9D9D9"/>
          </w:tcPr>
          <w:p>
            <w:pPr>
              <w:spacing w:after="0" w:line="240" w:lineRule="auto"/>
              <w:jc w:val="left"/>
            </w:pPr>
            <w:r>
              <w:rPr>
                <w:rFonts w:ascii="Times New Roman" w:hAnsi="Times New Roman" w:cs="Times New Roman"/>
                <w:b/>
                <w:sz w:val="19"/>
                <w:szCs w:val="19"/>
              </w:rPr>
              <w:t>f (GHz)</w:t>
            </w:r>
          </w:p>
        </w:tc>
        <w:tc>
          <w:tcPr>
            <w:tcW w:type="dxa" w:w="1152"/>
            <w:vAlign w:val="center"/>
            <w:shd w:val="clear" w:color="auto" w:fill="D9D9D9"/>
          </w:tcPr>
          <w:p>
            <w:pPr>
              <w:spacing w:after="0" w:line="240" w:lineRule="auto"/>
              <w:jc w:val="center"/>
            </w:pPr>
            <w:r>
              <w:rPr>
                <w:rFonts w:ascii="Times New Roman" w:hAnsi="Times New Roman" w:cs="Times New Roman"/>
                <w:b/>
                <w:sz w:val="19"/>
                <w:szCs w:val="19"/>
              </w:rPr>
              <w:t>λ</w:t>
            </w:r>
            <w:r>
              <w:rPr>
                <w:rFonts w:ascii="Times New Roman" w:hAnsi="Times New Roman" w:cs="Times New Roman"/>
                <w:b/>
                <w:sz w:val="19"/>
                <w:szCs w:val="19"/>
                <w:vertAlign w:val="subscript"/>
              </w:rPr>
              <w:t>0</w:t>
            </w:r>
            <w:r>
              <w:rPr>
                <w:rFonts w:ascii="Times New Roman" w:hAnsi="Times New Roman" w:cs="Times New Roman"/>
                <w:b/>
                <w:sz w:val="19"/>
                <w:szCs w:val="19"/>
              </w:rPr>
              <w:t xml:space="preserve"> (mm)</w:t>
            </w:r>
          </w:p>
        </w:tc>
        <w:tc>
          <w:tcPr>
            <w:tcW w:type="dxa" w:w="1080"/>
            <w:vAlign w:val="center"/>
            <w:shd w:val="clear" w:color="auto" w:fill="D9D9D9"/>
          </w:tcPr>
          <w:p>
            <w:pPr>
              <w:spacing w:after="0" w:line="240" w:lineRule="auto"/>
              <w:jc w:val="center"/>
            </w:pPr>
            <w:r>
              <w:rPr>
                <w:rFonts w:ascii="Times New Roman" w:hAnsi="Times New Roman" w:cs="Times New Roman"/>
                <w:b/>
                <w:sz w:val="19"/>
                <w:szCs w:val="19"/>
              </w:rPr>
              <w:t>h/λ</w:t>
            </w:r>
            <w:r>
              <w:rPr>
                <w:rFonts w:ascii="Times New Roman" w:hAnsi="Times New Roman" w:cs="Times New Roman"/>
                <w:b/>
                <w:sz w:val="19"/>
                <w:szCs w:val="19"/>
                <w:vertAlign w:val="subscript"/>
              </w:rPr>
              <w:t>0</w:t>
            </w:r>
          </w:p>
        </w:tc>
        <w:tc>
          <w:tcPr>
            <w:tcW w:type="dxa" w:w="1872"/>
            <w:vAlign w:val="center"/>
            <w:shd w:val="clear" w:color="auto" w:fill="D9D9D9"/>
          </w:tcPr>
          <w:p>
            <w:pPr>
              <w:spacing w:after="0" w:line="240" w:lineRule="auto"/>
              <w:jc w:val="center"/>
            </w:pPr>
            <w:r>
              <w:rPr>
                <w:rFonts w:ascii="Times New Roman" w:hAnsi="Times New Roman" w:cs="Times New Roman"/>
                <w:b/>
                <w:sz w:val="19"/>
                <w:szCs w:val="19"/>
              </w:rPr>
              <w:t>Needed φ</w:t>
            </w:r>
            <w:r>
              <w:rPr>
                <w:rFonts w:ascii="Times New Roman" w:hAnsi="Times New Roman" w:cs="Times New Roman"/>
                <w:b/>
                <w:sz w:val="19"/>
                <w:szCs w:val="19"/>
                <w:vertAlign w:val="subscript"/>
              </w:rPr>
              <w:t>R</w:t>
            </w:r>
            <w:r>
              <w:rPr>
                <w:rFonts w:ascii="Times New Roman" w:hAnsi="Times New Roman" w:cs="Times New Roman"/>
                <w:b/>
                <w:sz w:val="19"/>
                <w:szCs w:val="19"/>
              </w:rPr>
              <w:t xml:space="preserve"> = 2k</w:t>
            </w:r>
            <w:r>
              <w:rPr>
                <w:rFonts w:ascii="Times New Roman" w:hAnsi="Times New Roman" w:cs="Times New Roman"/>
                <w:b/>
                <w:sz w:val="19"/>
                <w:szCs w:val="19"/>
                <w:vertAlign w:val="subscript"/>
              </w:rPr>
              <w:t>0</w:t>
            </w:r>
            <w:r>
              <w:rPr>
                <w:rFonts w:ascii="Times New Roman" w:hAnsi="Times New Roman" w:cs="Times New Roman"/>
                <w:b/>
                <w:sz w:val="19"/>
                <w:szCs w:val="19"/>
              </w:rPr>
              <w:t>h</w:t>
            </w:r>
          </w:p>
        </w:tc>
        <w:tc>
          <w:tcPr>
            <w:tcW w:type="dxa" w:w="1944"/>
            <w:vAlign w:val="center"/>
            <w:shd w:val="clear" w:color="auto" w:fill="D9D9D9"/>
          </w:tcPr>
          <w:p>
            <w:pPr>
              <w:spacing w:after="0" w:line="240" w:lineRule="auto"/>
              <w:jc w:val="center"/>
            </w:pPr>
            <w:r>
              <w:rPr>
                <w:rFonts w:ascii="Times New Roman" w:hAnsi="Times New Roman" w:cs="Times New Roman"/>
                <w:b/>
                <w:sz w:val="19"/>
                <w:szCs w:val="19"/>
              </w:rPr>
              <w:t>PEC error 180° − 2k</w:t>
            </w:r>
            <w:r>
              <w:rPr>
                <w:rFonts w:ascii="Times New Roman" w:hAnsi="Times New Roman" w:cs="Times New Roman"/>
                <w:b/>
                <w:sz w:val="19"/>
                <w:szCs w:val="19"/>
                <w:vertAlign w:val="subscript"/>
              </w:rPr>
              <w:t>0</w:t>
            </w:r>
            <w:r>
              <w:rPr>
                <w:rFonts w:ascii="Times New Roman" w:hAnsi="Times New Roman" w:cs="Times New Roman"/>
                <w:b/>
                <w:sz w:val="19"/>
                <w:szCs w:val="19"/>
              </w:rPr>
              <w:t>h</w:t>
            </w:r>
          </w:p>
        </w:tc>
        <w:tc>
          <w:tcPr>
            <w:tcW w:type="dxa" w:w="1512"/>
            <w:vAlign w:val="center"/>
            <w:shd w:val="clear" w:color="auto" w:fill="D9D9D9"/>
          </w:tcPr>
          <w:p>
            <w:pPr>
              <w:spacing w:after="0" w:line="240" w:lineRule="auto"/>
              <w:jc w:val="center"/>
            </w:pPr>
            <w:r>
              <w:rPr>
                <w:rFonts w:ascii="Times New Roman" w:hAnsi="Times New Roman" w:cs="Times New Roman"/>
                <w:b/>
                <w:sz w:val="19"/>
                <w:szCs w:val="19"/>
              </w:rPr>
              <w:t>PEC reflection</w:t>
            </w:r>
          </w:p>
        </w:tc>
      </w:tr>
      <w:tr>
        <w:tc>
          <w:tcPr>
            <w:tcW w:type="dxa" w:w="1080"/>
            <w:vAlign w:val="center"/>
          </w:tcPr>
          <w:p>
            <w:pPr>
              <w:spacing w:after="0" w:line="240" w:lineRule="auto"/>
              <w:jc w:val="left"/>
            </w:pPr>
            <w:r>
              <w:rPr>
                <w:rFonts w:ascii="Times New Roman" w:hAnsi="Times New Roman" w:cs="Times New Roman"/>
                <w:sz w:val="19"/>
                <w:szCs w:val="19"/>
              </w:rPr>
              <w:t>2.16</w:t>
            </w:r>
          </w:p>
        </w:tc>
        <w:tc>
          <w:tcPr>
            <w:tcW w:type="dxa" w:w="1152"/>
            <w:vAlign w:val="center"/>
          </w:tcPr>
          <w:p>
            <w:pPr>
              <w:spacing w:after="0" w:line="240" w:lineRule="auto"/>
              <w:jc w:val="center"/>
            </w:pPr>
            <w:r>
              <w:rPr>
                <w:rFonts w:ascii="Times New Roman" w:hAnsi="Times New Roman" w:cs="Times New Roman"/>
                <w:sz w:val="19"/>
                <w:szCs w:val="19"/>
              </w:rPr>
              <w:t>138.7</w:t>
            </w:r>
          </w:p>
        </w:tc>
        <w:tc>
          <w:tcPr>
            <w:tcW w:type="dxa" w:w="1080"/>
            <w:vAlign w:val="center"/>
          </w:tcPr>
          <w:p>
            <w:pPr>
              <w:spacing w:after="0" w:line="240" w:lineRule="auto"/>
              <w:jc w:val="center"/>
            </w:pPr>
            <w:r>
              <w:rPr>
                <w:rFonts w:ascii="Times New Roman" w:hAnsi="Times New Roman" w:cs="Times New Roman"/>
                <w:sz w:val="19"/>
                <w:szCs w:val="19"/>
              </w:rPr>
              <w:t>0.028</w:t>
            </w:r>
          </w:p>
        </w:tc>
        <w:tc>
          <w:tcPr>
            <w:tcW w:type="dxa" w:w="1872"/>
            <w:vAlign w:val="center"/>
          </w:tcPr>
          <w:p>
            <w:pPr>
              <w:spacing w:after="0" w:line="240" w:lineRule="auto"/>
              <w:jc w:val="center"/>
            </w:pPr>
            <w:r>
              <w:rPr>
                <w:rFonts w:ascii="Times New Roman" w:hAnsi="Times New Roman" w:cs="Times New Roman"/>
                <w:sz w:val="19"/>
                <w:szCs w:val="19"/>
              </w:rPr>
              <w:t>20°</w:t>
            </w:r>
          </w:p>
        </w:tc>
        <w:tc>
          <w:tcPr>
            <w:tcW w:type="dxa" w:w="1944"/>
            <w:vAlign w:val="center"/>
          </w:tcPr>
          <w:p>
            <w:pPr>
              <w:spacing w:after="0" w:line="240" w:lineRule="auto"/>
              <w:jc w:val="center"/>
            </w:pPr>
            <w:r>
              <w:rPr>
                <w:rFonts w:ascii="Times New Roman" w:hAnsi="Times New Roman" w:cs="Times New Roman"/>
                <w:sz w:val="19"/>
                <w:szCs w:val="19"/>
              </w:rPr>
              <w:t>160°</w:t>
            </w:r>
          </w:p>
        </w:tc>
        <w:tc>
          <w:tcPr>
            <w:tcW w:type="dxa" w:w="1512"/>
            <w:vAlign w:val="center"/>
          </w:tcPr>
          <w:p>
            <w:pPr>
              <w:spacing w:after="0" w:line="240" w:lineRule="auto"/>
              <w:jc w:val="center"/>
            </w:pPr>
            <w:r>
              <w:rPr>
                <w:rFonts w:ascii="Times New Roman" w:hAnsi="Times New Roman" w:cs="Times New Roman"/>
                <w:sz w:val="19"/>
                <w:szCs w:val="19"/>
              </w:rPr>
              <w:t>reduces</w:t>
            </w:r>
          </w:p>
        </w:tc>
      </w:tr>
      <w:tr>
        <w:tc>
          <w:tcPr>
            <w:tcW w:type="dxa" w:w="1080"/>
            <w:vAlign w:val="center"/>
          </w:tcPr>
          <w:p>
            <w:pPr>
              <w:spacing w:after="0" w:line="240" w:lineRule="auto"/>
              <w:jc w:val="left"/>
            </w:pPr>
            <w:r>
              <w:rPr>
                <w:rFonts w:ascii="Times New Roman" w:hAnsi="Times New Roman" w:cs="Times New Roman"/>
                <w:sz w:val="19"/>
                <w:szCs w:val="19"/>
              </w:rPr>
              <w:t>3.10</w:t>
            </w:r>
          </w:p>
        </w:tc>
        <w:tc>
          <w:tcPr>
            <w:tcW w:type="dxa" w:w="1152"/>
            <w:vAlign w:val="center"/>
          </w:tcPr>
          <w:p>
            <w:pPr>
              <w:spacing w:after="0" w:line="240" w:lineRule="auto"/>
              <w:jc w:val="center"/>
            </w:pPr>
            <w:r>
              <w:rPr>
                <w:rFonts w:ascii="Times New Roman" w:hAnsi="Times New Roman" w:cs="Times New Roman"/>
                <w:sz w:val="19"/>
                <w:szCs w:val="19"/>
              </w:rPr>
              <w:t>96.7</w:t>
            </w:r>
          </w:p>
        </w:tc>
        <w:tc>
          <w:tcPr>
            <w:tcW w:type="dxa" w:w="1080"/>
            <w:vAlign w:val="center"/>
          </w:tcPr>
          <w:p>
            <w:pPr>
              <w:spacing w:after="0" w:line="240" w:lineRule="auto"/>
              <w:jc w:val="center"/>
            </w:pPr>
            <w:r>
              <w:rPr>
                <w:rFonts w:ascii="Times New Roman" w:hAnsi="Times New Roman" w:cs="Times New Roman"/>
                <w:sz w:val="19"/>
                <w:szCs w:val="19"/>
              </w:rPr>
              <w:t>0.040</w:t>
            </w:r>
          </w:p>
        </w:tc>
        <w:tc>
          <w:tcPr>
            <w:tcW w:type="dxa" w:w="1872"/>
            <w:vAlign w:val="center"/>
          </w:tcPr>
          <w:p>
            <w:pPr>
              <w:spacing w:after="0" w:line="240" w:lineRule="auto"/>
              <w:jc w:val="center"/>
            </w:pPr>
            <w:r>
              <w:rPr>
                <w:rFonts w:ascii="Times New Roman" w:hAnsi="Times New Roman" w:cs="Times New Roman"/>
                <w:sz w:val="19"/>
                <w:szCs w:val="19"/>
              </w:rPr>
              <w:t>29°</w:t>
            </w:r>
          </w:p>
        </w:tc>
        <w:tc>
          <w:tcPr>
            <w:tcW w:type="dxa" w:w="1944"/>
            <w:vAlign w:val="center"/>
          </w:tcPr>
          <w:p>
            <w:pPr>
              <w:spacing w:after="0" w:line="240" w:lineRule="auto"/>
              <w:jc w:val="center"/>
            </w:pPr>
            <w:r>
              <w:rPr>
                <w:rFonts w:ascii="Times New Roman" w:hAnsi="Times New Roman" w:cs="Times New Roman"/>
                <w:sz w:val="19"/>
                <w:szCs w:val="19"/>
              </w:rPr>
              <w:t>151°</w:t>
            </w:r>
          </w:p>
        </w:tc>
        <w:tc>
          <w:tcPr>
            <w:tcW w:type="dxa" w:w="1512"/>
            <w:vAlign w:val="center"/>
          </w:tcPr>
          <w:p>
            <w:pPr>
              <w:spacing w:after="0" w:line="240" w:lineRule="auto"/>
              <w:jc w:val="center"/>
            </w:pPr>
            <w:r>
              <w:rPr>
                <w:rFonts w:ascii="Times New Roman" w:hAnsi="Times New Roman" w:cs="Times New Roman"/>
                <w:sz w:val="19"/>
                <w:szCs w:val="19"/>
              </w:rPr>
              <w:t>reduces</w:t>
            </w:r>
          </w:p>
        </w:tc>
      </w:tr>
      <w:tr>
        <w:tc>
          <w:tcPr>
            <w:tcW w:type="dxa" w:w="1080"/>
            <w:vAlign w:val="center"/>
          </w:tcPr>
          <w:p>
            <w:pPr>
              <w:spacing w:after="0" w:line="240" w:lineRule="auto"/>
              <w:jc w:val="left"/>
            </w:pPr>
            <w:r>
              <w:rPr>
                <w:rFonts w:ascii="Times New Roman" w:hAnsi="Times New Roman" w:cs="Times New Roman"/>
                <w:sz w:val="19"/>
                <w:szCs w:val="19"/>
              </w:rPr>
              <w:t>5.00</w:t>
            </w:r>
          </w:p>
        </w:tc>
        <w:tc>
          <w:tcPr>
            <w:tcW w:type="dxa" w:w="1152"/>
            <w:vAlign w:val="center"/>
          </w:tcPr>
          <w:p>
            <w:pPr>
              <w:spacing w:after="0" w:line="240" w:lineRule="auto"/>
              <w:jc w:val="center"/>
            </w:pPr>
            <w:r>
              <w:rPr>
                <w:rFonts w:ascii="Times New Roman" w:hAnsi="Times New Roman" w:cs="Times New Roman"/>
                <w:sz w:val="19"/>
                <w:szCs w:val="19"/>
              </w:rPr>
              <w:t>60.0</w:t>
            </w:r>
          </w:p>
        </w:tc>
        <w:tc>
          <w:tcPr>
            <w:tcW w:type="dxa" w:w="1080"/>
            <w:vAlign w:val="center"/>
          </w:tcPr>
          <w:p>
            <w:pPr>
              <w:spacing w:after="0" w:line="240" w:lineRule="auto"/>
              <w:jc w:val="center"/>
            </w:pPr>
            <w:r>
              <w:rPr>
                <w:rFonts w:ascii="Times New Roman" w:hAnsi="Times New Roman" w:cs="Times New Roman"/>
                <w:sz w:val="19"/>
                <w:szCs w:val="19"/>
              </w:rPr>
              <w:t>0.065</w:t>
            </w:r>
          </w:p>
        </w:tc>
        <w:tc>
          <w:tcPr>
            <w:tcW w:type="dxa" w:w="1872"/>
            <w:vAlign w:val="center"/>
          </w:tcPr>
          <w:p>
            <w:pPr>
              <w:spacing w:after="0" w:line="240" w:lineRule="auto"/>
              <w:jc w:val="center"/>
            </w:pPr>
            <w:r>
              <w:rPr>
                <w:rFonts w:ascii="Times New Roman" w:hAnsi="Times New Roman" w:cs="Times New Roman"/>
                <w:sz w:val="19"/>
                <w:szCs w:val="19"/>
              </w:rPr>
              <w:t>47°</w:t>
            </w:r>
          </w:p>
        </w:tc>
        <w:tc>
          <w:tcPr>
            <w:tcW w:type="dxa" w:w="1944"/>
            <w:vAlign w:val="center"/>
          </w:tcPr>
          <w:p>
            <w:pPr>
              <w:spacing w:after="0" w:line="240" w:lineRule="auto"/>
              <w:jc w:val="center"/>
            </w:pPr>
            <w:r>
              <w:rPr>
                <w:rFonts w:ascii="Times New Roman" w:hAnsi="Times New Roman" w:cs="Times New Roman"/>
                <w:sz w:val="19"/>
                <w:szCs w:val="19"/>
              </w:rPr>
              <w:t>133°</w:t>
            </w:r>
          </w:p>
        </w:tc>
        <w:tc>
          <w:tcPr>
            <w:tcW w:type="dxa" w:w="1512"/>
            <w:vAlign w:val="center"/>
          </w:tcPr>
          <w:p>
            <w:pPr>
              <w:spacing w:after="0" w:line="240" w:lineRule="auto"/>
              <w:jc w:val="center"/>
            </w:pPr>
            <w:r>
              <w:rPr>
                <w:rFonts w:ascii="Times New Roman" w:hAnsi="Times New Roman" w:cs="Times New Roman"/>
                <w:sz w:val="19"/>
                <w:szCs w:val="19"/>
              </w:rPr>
              <w:t>reduces</w:t>
            </w:r>
          </w:p>
        </w:tc>
      </w:tr>
      <w:tr>
        <w:tc>
          <w:tcPr>
            <w:tcW w:type="dxa" w:w="1080"/>
            <w:vAlign w:val="center"/>
          </w:tcPr>
          <w:p>
            <w:pPr>
              <w:spacing w:after="0" w:line="240" w:lineRule="auto"/>
              <w:jc w:val="left"/>
            </w:pPr>
            <w:r>
              <w:rPr>
                <w:rFonts w:ascii="Times New Roman" w:hAnsi="Times New Roman" w:cs="Times New Roman"/>
                <w:sz w:val="19"/>
                <w:szCs w:val="19"/>
              </w:rPr>
              <w:t>6.85</w:t>
            </w:r>
          </w:p>
        </w:tc>
        <w:tc>
          <w:tcPr>
            <w:tcW w:type="dxa" w:w="1152"/>
            <w:vAlign w:val="center"/>
          </w:tcPr>
          <w:p>
            <w:pPr>
              <w:spacing w:after="0" w:line="240" w:lineRule="auto"/>
              <w:jc w:val="center"/>
            </w:pPr>
            <w:r>
              <w:rPr>
                <w:rFonts w:ascii="Times New Roman" w:hAnsi="Times New Roman" w:cs="Times New Roman"/>
                <w:sz w:val="19"/>
                <w:szCs w:val="19"/>
              </w:rPr>
              <w:t>43.8</w:t>
            </w:r>
          </w:p>
        </w:tc>
        <w:tc>
          <w:tcPr>
            <w:tcW w:type="dxa" w:w="1080"/>
            <w:vAlign w:val="center"/>
          </w:tcPr>
          <w:p>
            <w:pPr>
              <w:spacing w:after="0" w:line="240" w:lineRule="auto"/>
              <w:jc w:val="center"/>
            </w:pPr>
            <w:r>
              <w:rPr>
                <w:rFonts w:ascii="Times New Roman" w:hAnsi="Times New Roman" w:cs="Times New Roman"/>
                <w:sz w:val="19"/>
                <w:szCs w:val="19"/>
              </w:rPr>
              <w:t>0.089</w:t>
            </w:r>
          </w:p>
        </w:tc>
        <w:tc>
          <w:tcPr>
            <w:tcW w:type="dxa" w:w="1872"/>
            <w:vAlign w:val="center"/>
          </w:tcPr>
          <w:p>
            <w:pPr>
              <w:spacing w:after="0" w:line="240" w:lineRule="auto"/>
              <w:jc w:val="center"/>
            </w:pPr>
            <w:r>
              <w:rPr>
                <w:rFonts w:ascii="Times New Roman" w:hAnsi="Times New Roman" w:cs="Times New Roman"/>
                <w:sz w:val="19"/>
                <w:szCs w:val="19"/>
              </w:rPr>
              <w:t>64°</w:t>
            </w:r>
          </w:p>
        </w:tc>
        <w:tc>
          <w:tcPr>
            <w:tcW w:type="dxa" w:w="1944"/>
            <w:vAlign w:val="center"/>
          </w:tcPr>
          <w:p>
            <w:pPr>
              <w:spacing w:after="0" w:line="240" w:lineRule="auto"/>
              <w:jc w:val="center"/>
            </w:pPr>
            <w:r>
              <w:rPr>
                <w:rFonts w:ascii="Times New Roman" w:hAnsi="Times New Roman" w:cs="Times New Roman"/>
                <w:sz w:val="19"/>
                <w:szCs w:val="19"/>
              </w:rPr>
              <w:t>116°</w:t>
            </w:r>
          </w:p>
        </w:tc>
        <w:tc>
          <w:tcPr>
            <w:tcW w:type="dxa" w:w="1512"/>
            <w:vAlign w:val="center"/>
          </w:tcPr>
          <w:p>
            <w:pPr>
              <w:spacing w:after="0" w:line="240" w:lineRule="auto"/>
              <w:jc w:val="center"/>
            </w:pPr>
            <w:r>
              <w:rPr>
                <w:rFonts w:ascii="Times New Roman" w:hAnsi="Times New Roman" w:cs="Times New Roman"/>
                <w:sz w:val="19"/>
                <w:szCs w:val="19"/>
              </w:rPr>
              <w:t>reduces</w:t>
            </w:r>
          </w:p>
        </w:tc>
      </w:tr>
      <w:tr>
        <w:tc>
          <w:tcPr>
            <w:tcW w:type="dxa" w:w="1080"/>
            <w:vAlign w:val="center"/>
          </w:tcPr>
          <w:p>
            <w:pPr>
              <w:spacing w:after="0" w:line="240" w:lineRule="auto"/>
              <w:jc w:val="left"/>
            </w:pPr>
            <w:r>
              <w:rPr>
                <w:rFonts w:ascii="Times New Roman" w:hAnsi="Times New Roman" w:cs="Times New Roman"/>
                <w:sz w:val="19"/>
                <w:szCs w:val="19"/>
              </w:rPr>
              <w:t>9.61</w:t>
            </w:r>
          </w:p>
        </w:tc>
        <w:tc>
          <w:tcPr>
            <w:tcW w:type="dxa" w:w="1152"/>
            <w:vAlign w:val="center"/>
          </w:tcPr>
          <w:p>
            <w:pPr>
              <w:spacing w:after="0" w:line="240" w:lineRule="auto"/>
              <w:jc w:val="center"/>
            </w:pPr>
            <w:r>
              <w:rPr>
                <w:rFonts w:ascii="Times New Roman" w:hAnsi="Times New Roman" w:cs="Times New Roman"/>
                <w:sz w:val="19"/>
                <w:szCs w:val="19"/>
              </w:rPr>
              <w:t>31.2</w:t>
            </w:r>
          </w:p>
        </w:tc>
        <w:tc>
          <w:tcPr>
            <w:tcW w:type="dxa" w:w="1080"/>
            <w:vAlign w:val="center"/>
          </w:tcPr>
          <w:p>
            <w:pPr>
              <w:spacing w:after="0" w:line="240" w:lineRule="auto"/>
              <w:jc w:val="center"/>
            </w:pPr>
            <w:r>
              <w:rPr>
                <w:rFonts w:ascii="Times New Roman" w:hAnsi="Times New Roman" w:cs="Times New Roman"/>
                <w:sz w:val="19"/>
                <w:szCs w:val="19"/>
              </w:rPr>
              <w:t>0.125</w:t>
            </w:r>
          </w:p>
        </w:tc>
        <w:tc>
          <w:tcPr>
            <w:tcW w:type="dxa" w:w="1872"/>
            <w:vAlign w:val="center"/>
          </w:tcPr>
          <w:p>
            <w:pPr>
              <w:spacing w:after="0" w:line="240" w:lineRule="auto"/>
              <w:jc w:val="center"/>
            </w:pPr>
            <w:r>
              <w:rPr>
                <w:rFonts w:ascii="Times New Roman" w:hAnsi="Times New Roman" w:cs="Times New Roman"/>
                <w:sz w:val="19"/>
                <w:szCs w:val="19"/>
              </w:rPr>
              <w:t>90°</w:t>
            </w:r>
          </w:p>
        </w:tc>
        <w:tc>
          <w:tcPr>
            <w:tcW w:type="dxa" w:w="1944"/>
            <w:vAlign w:val="center"/>
          </w:tcPr>
          <w:p>
            <w:pPr>
              <w:spacing w:after="0" w:line="240" w:lineRule="auto"/>
              <w:jc w:val="center"/>
            </w:pPr>
            <w:r>
              <w:rPr>
                <w:rFonts w:ascii="Times New Roman" w:hAnsi="Times New Roman" w:cs="Times New Roman"/>
                <w:sz w:val="19"/>
                <w:szCs w:val="19"/>
              </w:rPr>
              <w:t>90°</w:t>
            </w:r>
          </w:p>
        </w:tc>
        <w:tc>
          <w:tcPr>
            <w:tcW w:type="dxa" w:w="1512"/>
            <w:vAlign w:val="center"/>
          </w:tcPr>
          <w:p>
            <w:pPr>
              <w:spacing w:after="0" w:line="240" w:lineRule="auto"/>
              <w:jc w:val="center"/>
            </w:pPr>
            <w:r>
              <w:rPr>
                <w:rFonts w:ascii="Times New Roman" w:hAnsi="Times New Roman" w:cs="Times New Roman"/>
                <w:sz w:val="19"/>
                <w:szCs w:val="19"/>
              </w:rPr>
              <w:t>boundary</w:t>
            </w:r>
          </w:p>
        </w:tc>
      </w:tr>
      <w:tr>
        <w:tc>
          <w:tcPr>
            <w:tcW w:type="dxa" w:w="1080"/>
            <w:vAlign w:val="center"/>
          </w:tcPr>
          <w:p>
            <w:pPr>
              <w:spacing w:after="0" w:line="240" w:lineRule="auto"/>
              <w:jc w:val="left"/>
            </w:pPr>
            <w:r>
              <w:rPr>
                <w:rFonts w:ascii="Times New Roman" w:hAnsi="Times New Roman" w:cs="Times New Roman"/>
                <w:sz w:val="19"/>
                <w:szCs w:val="19"/>
              </w:rPr>
              <w:t>10.60</w:t>
            </w:r>
          </w:p>
        </w:tc>
        <w:tc>
          <w:tcPr>
            <w:tcW w:type="dxa" w:w="1152"/>
            <w:vAlign w:val="center"/>
          </w:tcPr>
          <w:p>
            <w:pPr>
              <w:spacing w:after="0" w:line="240" w:lineRule="auto"/>
              <w:jc w:val="center"/>
            </w:pPr>
            <w:r>
              <w:rPr>
                <w:rFonts w:ascii="Times New Roman" w:hAnsi="Times New Roman" w:cs="Times New Roman"/>
                <w:sz w:val="19"/>
                <w:szCs w:val="19"/>
              </w:rPr>
              <w:t>28.3</w:t>
            </w:r>
          </w:p>
        </w:tc>
        <w:tc>
          <w:tcPr>
            <w:tcW w:type="dxa" w:w="1080"/>
            <w:vAlign w:val="center"/>
          </w:tcPr>
          <w:p>
            <w:pPr>
              <w:spacing w:after="0" w:line="240" w:lineRule="auto"/>
              <w:jc w:val="center"/>
            </w:pPr>
            <w:r>
              <w:rPr>
                <w:rFonts w:ascii="Times New Roman" w:hAnsi="Times New Roman" w:cs="Times New Roman"/>
                <w:sz w:val="19"/>
                <w:szCs w:val="19"/>
              </w:rPr>
              <w:t>0.138</w:t>
            </w:r>
          </w:p>
        </w:tc>
        <w:tc>
          <w:tcPr>
            <w:tcW w:type="dxa" w:w="1872"/>
            <w:vAlign w:val="center"/>
          </w:tcPr>
          <w:p>
            <w:pPr>
              <w:spacing w:after="0" w:line="240" w:lineRule="auto"/>
              <w:jc w:val="center"/>
            </w:pPr>
            <w:r>
              <w:rPr>
                <w:rFonts w:ascii="Times New Roman" w:hAnsi="Times New Roman" w:cs="Times New Roman"/>
                <w:sz w:val="19"/>
                <w:szCs w:val="19"/>
              </w:rPr>
              <w:t>99°</w:t>
            </w:r>
          </w:p>
        </w:tc>
        <w:tc>
          <w:tcPr>
            <w:tcW w:type="dxa" w:w="1944"/>
            <w:vAlign w:val="center"/>
          </w:tcPr>
          <w:p>
            <w:pPr>
              <w:spacing w:after="0" w:line="240" w:lineRule="auto"/>
              <w:jc w:val="center"/>
            </w:pPr>
            <w:r>
              <w:rPr>
                <w:rFonts w:ascii="Times New Roman" w:hAnsi="Times New Roman" w:cs="Times New Roman"/>
                <w:sz w:val="19"/>
                <w:szCs w:val="19"/>
              </w:rPr>
              <w:t>81°</w:t>
            </w:r>
          </w:p>
        </w:tc>
        <w:tc>
          <w:tcPr>
            <w:tcW w:type="dxa" w:w="1512"/>
            <w:vAlign w:val="center"/>
          </w:tcPr>
          <w:p>
            <w:pPr>
              <w:spacing w:after="0" w:line="240" w:lineRule="auto"/>
              <w:jc w:val="center"/>
            </w:pPr>
            <w:r>
              <w:rPr>
                <w:rFonts w:ascii="Times New Roman" w:hAnsi="Times New Roman" w:cs="Times New Roman"/>
                <w:sz w:val="19"/>
                <w:szCs w:val="19"/>
              </w:rPr>
              <w:t>adds</w:t>
            </w:r>
          </w:p>
        </w:tc>
      </w:tr>
      <w:tr>
        <w:tc>
          <w:tcPr>
            <w:tcW w:type="dxa" w:w="1080"/>
            <w:vAlign w:val="center"/>
          </w:tcPr>
          <w:p>
            <w:pPr>
              <w:spacing w:after="0" w:line="240" w:lineRule="auto"/>
              <w:jc w:val="left"/>
            </w:pPr>
            <w:r>
              <w:rPr>
                <w:rFonts w:ascii="Times New Roman" w:hAnsi="Times New Roman" w:cs="Times New Roman"/>
                <w:sz w:val="19"/>
                <w:szCs w:val="19"/>
              </w:rPr>
              <w:t>15.73</w:t>
            </w:r>
          </w:p>
        </w:tc>
        <w:tc>
          <w:tcPr>
            <w:tcW w:type="dxa" w:w="1152"/>
            <w:vAlign w:val="center"/>
          </w:tcPr>
          <w:p>
            <w:pPr>
              <w:spacing w:after="0" w:line="240" w:lineRule="auto"/>
              <w:jc w:val="center"/>
            </w:pPr>
            <w:r>
              <w:rPr>
                <w:rFonts w:ascii="Times New Roman" w:hAnsi="Times New Roman" w:cs="Times New Roman"/>
                <w:sz w:val="19"/>
                <w:szCs w:val="19"/>
              </w:rPr>
              <w:t>19.1</w:t>
            </w:r>
          </w:p>
        </w:tc>
        <w:tc>
          <w:tcPr>
            <w:tcW w:type="dxa" w:w="1080"/>
            <w:vAlign w:val="center"/>
          </w:tcPr>
          <w:p>
            <w:pPr>
              <w:spacing w:after="0" w:line="240" w:lineRule="auto"/>
              <w:jc w:val="center"/>
            </w:pPr>
            <w:r>
              <w:rPr>
                <w:rFonts w:ascii="Times New Roman" w:hAnsi="Times New Roman" w:cs="Times New Roman"/>
                <w:sz w:val="19"/>
                <w:szCs w:val="19"/>
              </w:rPr>
              <w:t>0.205</w:t>
            </w:r>
          </w:p>
        </w:tc>
        <w:tc>
          <w:tcPr>
            <w:tcW w:type="dxa" w:w="1872"/>
            <w:vAlign w:val="center"/>
          </w:tcPr>
          <w:p>
            <w:pPr>
              <w:spacing w:after="0" w:line="240" w:lineRule="auto"/>
              <w:jc w:val="center"/>
            </w:pPr>
            <w:r>
              <w:rPr>
                <w:rFonts w:ascii="Times New Roman" w:hAnsi="Times New Roman" w:cs="Times New Roman"/>
                <w:sz w:val="19"/>
                <w:szCs w:val="19"/>
              </w:rPr>
              <w:t>147°</w:t>
            </w:r>
          </w:p>
        </w:tc>
        <w:tc>
          <w:tcPr>
            <w:tcW w:type="dxa" w:w="1944"/>
            <w:vAlign w:val="center"/>
          </w:tcPr>
          <w:p>
            <w:pPr>
              <w:spacing w:after="0" w:line="240" w:lineRule="auto"/>
              <w:jc w:val="center"/>
            </w:pPr>
            <w:r>
              <w:rPr>
                <w:rFonts w:ascii="Times New Roman" w:hAnsi="Times New Roman" w:cs="Times New Roman"/>
                <w:sz w:val="19"/>
                <w:szCs w:val="19"/>
              </w:rPr>
              <w:t>33°</w:t>
            </w:r>
          </w:p>
        </w:tc>
        <w:tc>
          <w:tcPr>
            <w:tcW w:type="dxa" w:w="1512"/>
            <w:vAlign w:val="center"/>
          </w:tcPr>
          <w:p>
            <w:pPr>
              <w:spacing w:after="0" w:line="240" w:lineRule="auto"/>
              <w:jc w:val="center"/>
            </w:pPr>
            <w:r>
              <w:rPr>
                <w:rFonts w:ascii="Times New Roman" w:hAnsi="Times New Roman" w:cs="Times New Roman"/>
                <w:sz w:val="19"/>
                <w:szCs w:val="19"/>
              </w:rPr>
              <w:t>adds</w:t>
            </w:r>
          </w:p>
        </w:tc>
      </w:tr>
    </w:tbl>
    <w:p>
      <w:pPr>
        <w:spacing w:after="40"/>
      </w:pPr>
    </w:p>
    <w:p>
      <w:pPr>
        <w:keepNext/>
        <w:spacing w:after="40"/>
        <w:jc w:val="center"/>
      </w:pPr>
      <w:r>
        <w:drawing>
          <wp:inline xmlns:a="http://schemas.openxmlformats.org/drawingml/2006/main" xmlns:pic="http://schemas.openxmlformats.org/drawingml/2006/picture">
            <wp:extent cx="4572000" cy="2427811"/>
            <wp:docPr id="3" name="Picture 3"/>
            <wp:cNvGraphicFramePr>
              <a:graphicFrameLocks noChangeAspect="1"/>
            </wp:cNvGraphicFramePr>
            <a:graphic>
              <a:graphicData uri="http://schemas.openxmlformats.org/drawingml/2006/picture">
                <pic:pic>
                  <pic:nvPicPr>
                    <pic:cNvPr id="0" name="fig_gap_phase.png"/>
                    <pic:cNvPicPr/>
                  </pic:nvPicPr>
                  <pic:blipFill>
                    <a:blip r:embed="rId10"/>
                    <a:stretch>
                      <a:fillRect/>
                    </a:stretch>
                  </pic:blipFill>
                  <pic:spPr>
                    <a:xfrm>
                      <a:off x="0" y="0"/>
                      <a:ext cx="4572000" cy="2427811"/>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Reflection phase needed for in-phase addition at h = 3.9 mm (line) with the ±90° window (band), compared with a metal plate (computed).</w:t>
      </w:r>
    </w:p>
    <w:p>
      <w:pPr>
        <w:jc w:val="both"/>
      </w:pPr>
      <w:r>
        <w:rPr>
          <w:rFonts w:ascii="Times New Roman" w:hAnsi="Times New Roman" w:cs="Times New Roman"/>
          <w:sz w:val="24"/>
          <w:szCs w:val="24"/>
        </w:rPr>
        <w:t>The needed phase rises from 20° at 2.16 GHz to 147° at 15.73 GHz. A metal plate lies more than 90° away from it below about 9.6 GHz, so at this gap it would reduce the forward gain over most of the UWB band. A metasurface whose reflection phase follows the band in Fig. 3 can instead add to the forward beam. This ray picture ignores the near-field coupling between antenna and metasurface, which is strong at 0.040λ</w:t>
      </w:r>
      <w:r>
        <w:rPr>
          <w:rFonts w:ascii="Times New Roman" w:hAnsi="Times New Roman" w:cs="Times New Roman"/>
          <w:sz w:val="24"/>
          <w:szCs w:val="24"/>
          <w:vertAlign w:val="subscript"/>
        </w:rPr>
        <w:t>0</w:t>
      </w:r>
      <w:r>
        <w:rPr>
          <w:rFonts w:ascii="Times New Roman" w:hAnsi="Times New Roman" w:cs="Times New Roman"/>
          <w:sz w:val="24"/>
          <w:szCs w:val="24"/>
        </w:rPr>
        <w:t xml:space="preserve"> (at 3.1 GHz); the metasurface also loads the antenna, so its matching must be re-checked, and L</w:t>
      </w:r>
      <w:r>
        <w:rPr>
          <w:rFonts w:ascii="Times New Roman" w:hAnsi="Times New Roman" w:cs="Times New Roman"/>
          <w:sz w:val="24"/>
          <w:szCs w:val="24"/>
          <w:vertAlign w:val="subscript"/>
        </w:rPr>
        <w:t>g</w:t>
      </w:r>
      <w:r>
        <w:rPr>
          <w:rFonts w:ascii="Times New Roman" w:hAnsi="Times New Roman" w:cs="Times New Roman"/>
          <w:sz w:val="24"/>
          <w:szCs w:val="24"/>
        </w:rPr>
        <w:t xml:space="preserve"> re-tuned if needed, with the metasurface in place.</w:t>
      </w:r>
    </w:p>
    <w:p>
      <w:pPr>
        <w:pStyle w:val="Heading2"/>
        <w:rPr>
          <w:rFonts w:ascii="Times New Roman" w:hAnsi="Times New Roman" w:cs="Times New Roman"/>
          <w:sz w:val="24"/>
          <w:szCs w:val="24"/>
        </w:rPr>
      </w:pPr>
      <w:r>
        <w:rPr>
          <w:rFonts w:ascii="Times New Roman" w:hAnsi="Times New Roman" w:cs="Times New Roman"/>
          <w:i/>
          <w:sz w:val="24"/>
          <w:szCs w:val="24"/>
        </w:rPr>
        <w:t>Simulation Set-up</w:t>
      </w:r>
    </w:p>
    <w:p>
      <w:pPr>
        <w:jc w:val="both"/>
      </w:pPr>
      <w:r>
        <w:rPr>
          <w:rFonts w:ascii="Times New Roman" w:hAnsi="Times New Roman" w:cs="Times New Roman"/>
          <w:sz w:val="24"/>
          <w:szCs w:val="24"/>
        </w:rPr>
        <w:t>All simulations use CST Studio Suite 2019 with the frequency-domain solver over 0–18 GHz. The CPW line is excited by a waveguide port that spans the signal strip, both slots and part of each ground plane, and open (add-space) boundaries surround the structure. The ground-edge sweep used ten values from −20 mm to −7 mm and the radius sweep 4 mm to 15 mm (13 values). Gain was obtained from far-field monitors spread over 1–18 GHz. The metasurface unit cell uses unit-cell boundaries in x and y and a Floquet port in z.</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Done Till Mid-Semester</w:t>
      </w:r>
    </w:p>
    <w:p>
      <w:pPr>
        <w:pStyle w:val="Heading2"/>
        <w:rPr>
          <w:rFonts w:ascii="Times New Roman" w:hAnsi="Times New Roman" w:cs="Times New Roman"/>
          <w:sz w:val="24"/>
          <w:szCs w:val="24"/>
        </w:rPr>
      </w:pPr>
      <w:r>
        <w:rPr>
          <w:rFonts w:ascii="Times New Roman" w:hAnsi="Times New Roman" w:cs="Times New Roman"/>
          <w:i/>
          <w:sz w:val="24"/>
          <w:szCs w:val="24"/>
        </w:rPr>
        <w:t>Antenna Geometry</w:t>
      </w:r>
    </w:p>
    <w:p>
      <w:pPr>
        <w:jc w:val="both"/>
      </w:pPr>
      <w:r>
        <w:rPr>
          <w:rFonts w:ascii="Times New Roman" w:hAnsi="Times New Roman" w:cs="Times New Roman"/>
          <w:sz w:val="24"/>
          <w:szCs w:val="24"/>
        </w:rPr>
        <w:t>Fig. 4 shows the CPW-fed antenna; its dimensions are listed in Table 3. Substrate: pending (from the CST parameter list).</w:t>
      </w:r>
    </w:p>
    <w:tbl>
      <w:tblPr>
        <w:tblW w:type="auto" w:w="0"/>
        <w:jc w:val="center"/>
        <w:tblLook w:firstColumn="1" w:firstRow="1" w:lastColumn="0" w:lastRow="0" w:noHBand="0" w:noVBand="1" w:val="04A0"/>
      </w:tblPr>
      <w:tblGrid>
        <w:gridCol w:w="8640"/>
      </w:tblGrid>
      <w:tr>
        <w:trPr>
          <w:trHeight w:val="1584" w:hRule="atLeast"/>
        </w:trPr>
        <w:tc>
          <w:tcPr>
            <w:tcW w:type="dxa" w:w="6912"/>
            <w:tcBorders>
              <w:top w:val="dashed" w:sz="8" w:color="808080" w:space="0"/>
              <w:left w:val="dashed" w:sz="8" w:color="808080" w:space="0"/>
              <w:bottom w:val="dashed" w:sz="8" w:color="808080" w:space="0"/>
              <w:right w:val="dashed" w:sz="8" w:color="808080" w:space="0"/>
            </w:tcBorders>
            <w:shd w:val="clear" w:color="auto" w:fill="F2F2F2"/>
            <w:vAlign w:val="center"/>
          </w:tcPr>
          <w:p>
            <w:pPr>
              <w:keepNext/>
              <w:jc w:val="center"/>
            </w:pPr>
            <w:r>
              <w:rPr>
                <w:rFonts w:ascii="Times New Roman" w:hAnsi="Times New Roman" w:cs="Times New Roman"/>
                <w:b/>
                <w:sz w:val="22"/>
                <w:szCs w:val="22"/>
              </w:rPr>
              <w:t>Result pending: CST simulation</w:t>
            </w:r>
          </w:p>
          <w:p>
            <w:pPr>
              <w:keepNext/>
              <w:jc w:val="center"/>
            </w:pPr>
            <w:r>
              <w:rPr>
                <w:rFonts w:ascii="Times New Roman" w:hAnsi="Times New Roman" w:cs="Times New Roman"/>
                <w:i/>
                <w:sz w:val="20"/>
                <w:szCs w:val="20"/>
              </w:rPr>
              <w:t>CST screenshot of the antenna geometry</w:t>
            </w:r>
          </w:p>
        </w:tc>
      </w:tr>
    </w:tbl>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Geometry of the CPW-fed antenna (CST model).</w:t>
      </w:r>
    </w:p>
    <w:p>
      <w:pPr>
        <w:pStyle w:val="Heading2"/>
        <w:rPr>
          <w:rFonts w:ascii="Times New Roman" w:hAnsi="Times New Roman" w:cs="Times New Roman"/>
          <w:sz w:val="24"/>
          <w:szCs w:val="24"/>
        </w:rPr>
      </w:pPr>
      <w:r>
        <w:rPr>
          <w:rFonts w:ascii="Times New Roman" w:hAnsi="Times New Roman" w:cs="Times New Roman"/>
          <w:i/>
          <w:sz w:val="24"/>
          <w:szCs w:val="24"/>
        </w:rPr>
        <w:t>Parametric Study</w:t>
      </w:r>
    </w:p>
    <w:p>
      <w:pPr>
        <w:jc w:val="both"/>
      </w:pPr>
      <w:r>
        <w:rPr>
          <w:rFonts w:ascii="Times New Roman" w:hAnsi="Times New Roman" w:cs="Times New Roman"/>
          <w:sz w:val="24"/>
          <w:szCs w:val="24"/>
        </w:rPr>
        <w:t>Fig. 5 shows |S</w:t>
      </w:r>
      <w:r>
        <w:rPr>
          <w:rFonts w:ascii="Times New Roman" w:hAnsi="Times New Roman" w:cs="Times New Roman"/>
          <w:sz w:val="24"/>
          <w:szCs w:val="24"/>
          <w:vertAlign w:val="subscript"/>
        </w:rPr>
        <w:t>11</w:t>
      </w:r>
      <w:r>
        <w:rPr>
          <w:rFonts w:ascii="Times New Roman" w:hAnsi="Times New Roman" w:cs="Times New Roman"/>
          <w:sz w:val="24"/>
          <w:szCs w:val="24"/>
        </w:rPr>
        <w:t>| for ten values from −20 mm to −7 mm of the ground-edge position L</w:t>
      </w:r>
      <w:r>
        <w:rPr>
          <w:rFonts w:ascii="Times New Roman" w:hAnsi="Times New Roman" w:cs="Times New Roman"/>
          <w:sz w:val="24"/>
          <w:szCs w:val="24"/>
          <w:vertAlign w:val="subscript"/>
        </w:rPr>
        <w:t>g</w:t>
      </w:r>
      <w:r>
        <w:rPr>
          <w:rFonts w:ascii="Times New Roman" w:hAnsi="Times New Roman" w:cs="Times New Roman"/>
          <w:sz w:val="24"/>
          <w:szCs w:val="24"/>
        </w:rPr>
        <w:t xml:space="preserve"> with R = 15 mm. As L</w:t>
      </w:r>
      <w:r>
        <w:rPr>
          <w:rFonts w:ascii="Times New Roman" w:hAnsi="Times New Roman" w:cs="Times New Roman"/>
          <w:sz w:val="24"/>
          <w:szCs w:val="24"/>
          <w:vertAlign w:val="subscript"/>
        </w:rPr>
        <w:t>g</w:t>
      </w:r>
      <w:r>
        <w:rPr>
          <w:rFonts w:ascii="Times New Roman" w:hAnsi="Times New Roman" w:cs="Times New Roman"/>
          <w:sz w:val="24"/>
          <w:szCs w:val="24"/>
        </w:rPr>
        <w:t xml:space="preserve"> increases, the ground edge moves towards the patch: the first resonance moves up from about 1.6 GHz to 2.7 GHz and becomes much deeper, and the matching between 3 and 10 GHz improves. For most ground positions |S</w:t>
      </w:r>
      <w:r>
        <w:rPr>
          <w:rFonts w:ascii="Times New Roman" w:hAnsi="Times New Roman" w:cs="Times New Roman"/>
          <w:sz w:val="24"/>
          <w:szCs w:val="24"/>
          <w:vertAlign w:val="subscript"/>
        </w:rPr>
        <w:t>11</w:t>
      </w:r>
      <w:r>
        <w:rPr>
          <w:rFonts w:ascii="Times New Roman" w:hAnsi="Times New Roman" w:cs="Times New Roman"/>
          <w:sz w:val="24"/>
          <w:szCs w:val="24"/>
        </w:rPr>
        <w:t>| stays between about −3 dB and −10 dB over large parts of 3–10 GHz; only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 keeps it below −10 dB across the whole band, so this value was fixed.</w:t>
      </w:r>
    </w:p>
    <w:p>
      <w:pPr>
        <w:keepNext/>
        <w:spacing w:after="40"/>
        <w:jc w:val="center"/>
      </w:pPr>
      <w:r>
        <w:drawing>
          <wp:inline xmlns:a="http://schemas.openxmlformats.org/drawingml/2006/main" xmlns:pic="http://schemas.openxmlformats.org/drawingml/2006/picture">
            <wp:extent cx="4754880" cy="1992976"/>
            <wp:docPr id="4" name="Picture 4"/>
            <wp:cNvGraphicFramePr>
              <a:graphicFrameLocks noChangeAspect="1"/>
            </wp:cNvGraphicFramePr>
            <a:graphic>
              <a:graphicData uri="http://schemas.openxmlformats.org/drawingml/2006/picture">
                <pic:pic>
                  <pic:nvPicPr>
                    <pic:cNvPr id="0" name="cst_single_Lg_sweep.png"/>
                    <pic:cNvPicPr/>
                  </pic:nvPicPr>
                  <pic:blipFill>
                    <a:blip r:embed="rId11"/>
                    <a:stretch>
                      <a:fillRect/>
                    </a:stretch>
                  </pic:blipFill>
                  <pic:spPr>
                    <a:xfrm>
                      <a:off x="0" y="0"/>
                      <a:ext cx="4754880" cy="1992976"/>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w:t>
      </w:r>
      <w:r>
        <w:rPr>
          <w:rFonts w:ascii="Times New Roman" w:hAnsi="Times New Roman" w:cs="Times New Roman"/>
          <w:sz w:val="20"/>
          <w:szCs w:val="20"/>
          <w:vertAlign w:val="subscript"/>
        </w:rPr>
        <w:t>11</w:t>
      </w:r>
      <w:r>
        <w:rPr>
          <w:rFonts w:ascii="Times New Roman" w:hAnsi="Times New Roman" w:cs="Times New Roman"/>
          <w:sz w:val="20"/>
          <w:szCs w:val="20"/>
        </w:rPr>
        <w:t>| for different ground-edge positions L</w:t>
      </w:r>
      <w:r>
        <w:rPr>
          <w:rFonts w:ascii="Times New Roman" w:hAnsi="Times New Roman" w:cs="Times New Roman"/>
          <w:sz w:val="20"/>
          <w:szCs w:val="20"/>
          <w:vertAlign w:val="subscript"/>
        </w:rPr>
        <w:t>g</w:t>
      </w:r>
      <w:r>
        <w:rPr>
          <w:rFonts w:ascii="Times New Roman" w:hAnsi="Times New Roman" w:cs="Times New Roman"/>
          <w:sz w:val="20"/>
          <w:szCs w:val="20"/>
        </w:rPr>
        <w:t xml:space="preserve"> (R = 15 mm); best: L</w:t>
      </w:r>
      <w:r>
        <w:rPr>
          <w:rFonts w:ascii="Times New Roman" w:hAnsi="Times New Roman" w:cs="Times New Roman"/>
          <w:sz w:val="20"/>
          <w:szCs w:val="20"/>
          <w:vertAlign w:val="subscript"/>
        </w:rPr>
        <w:t>g</w:t>
      </w:r>
      <w:r>
        <w:rPr>
          <w:rFonts w:ascii="Times New Roman" w:hAnsi="Times New Roman" w:cs="Times New Roman"/>
          <w:sz w:val="20"/>
          <w:szCs w:val="20"/>
        </w:rPr>
        <w:t xml:space="preserve"> = −7 mm.</w:t>
      </w:r>
    </w:p>
    <w:p>
      <w:pPr>
        <w:jc w:val="both"/>
      </w:pPr>
      <w:r>
        <w:rPr>
          <w:rFonts w:ascii="Times New Roman" w:hAnsi="Times New Roman" w:cs="Times New Roman"/>
          <w:sz w:val="24"/>
          <w:szCs w:val="24"/>
        </w:rPr>
        <w:t>Fig. 6 shows the radius sweep, 4 mm to 15 mm (13 values), with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 Small patches resonate too high and leave much of the band poorly matched; enlarging the patch lowers the first resonance and brings the higher-order resonances together, and R = 15 mm gives the widest continuous −10 dB band of all radii simulated. Both selected values lie at the upper end of their sweep ranges, which were limited by the board size.</w:t>
      </w:r>
    </w:p>
    <w:p>
      <w:pPr>
        <w:keepNext/>
        <w:spacing w:after="40"/>
        <w:jc w:val="center"/>
      </w:pPr>
      <w:r>
        <w:drawing>
          <wp:inline xmlns:a="http://schemas.openxmlformats.org/drawingml/2006/main" xmlns:pic="http://schemas.openxmlformats.org/drawingml/2006/picture">
            <wp:extent cx="4754880" cy="1992976"/>
            <wp:docPr id="5" name="Picture 5"/>
            <wp:cNvGraphicFramePr>
              <a:graphicFrameLocks noChangeAspect="1"/>
            </wp:cNvGraphicFramePr>
            <a:graphic>
              <a:graphicData uri="http://schemas.openxmlformats.org/drawingml/2006/picture">
                <pic:pic>
                  <pic:nvPicPr>
                    <pic:cNvPr id="0" name="cst_single_R_sweep.png"/>
                    <pic:cNvPicPr/>
                  </pic:nvPicPr>
                  <pic:blipFill>
                    <a:blip r:embed="rId12"/>
                    <a:stretch>
                      <a:fillRect/>
                    </a:stretch>
                  </pic:blipFill>
                  <pic:spPr>
                    <a:xfrm>
                      <a:off x="0" y="0"/>
                      <a:ext cx="4754880" cy="1992976"/>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w:t>
      </w:r>
      <w:r>
        <w:rPr>
          <w:rFonts w:ascii="Times New Roman" w:hAnsi="Times New Roman" w:cs="Times New Roman"/>
          <w:sz w:val="20"/>
          <w:szCs w:val="20"/>
          <w:vertAlign w:val="subscript"/>
        </w:rPr>
        <w:t>11</w:t>
      </w:r>
      <w:r>
        <w:rPr>
          <w:rFonts w:ascii="Times New Roman" w:hAnsi="Times New Roman" w:cs="Times New Roman"/>
          <w:sz w:val="20"/>
          <w:szCs w:val="20"/>
        </w:rPr>
        <w:t>| for different patch radii R (L</w:t>
      </w:r>
      <w:r>
        <w:rPr>
          <w:rFonts w:ascii="Times New Roman" w:hAnsi="Times New Roman" w:cs="Times New Roman"/>
          <w:sz w:val="20"/>
          <w:szCs w:val="20"/>
          <w:vertAlign w:val="subscript"/>
        </w:rPr>
        <w:t>g</w:t>
      </w:r>
      <w:r>
        <w:rPr>
          <w:rFonts w:ascii="Times New Roman" w:hAnsi="Times New Roman" w:cs="Times New Roman"/>
          <w:sz w:val="20"/>
          <w:szCs w:val="20"/>
        </w:rPr>
        <w:t xml:space="preserve"> = −7 mm); best: R = 15 mm.</w:t>
      </w:r>
    </w:p>
    <w:p>
      <w:pPr>
        <w:jc w:val="both"/>
      </w:pPr>
      <w:r>
        <w:rPr>
          <w:rFonts w:ascii="Times New Roman" w:hAnsi="Times New Roman" w:cs="Times New Roman"/>
          <w:sz w:val="24"/>
          <w:szCs w:val="24"/>
        </w:rPr>
        <w:t>Some sweep curves show abrupt steps at about 4.0 GHz and 6.2 GHz, and one curve of the ground sweep rises above 0 dB between these frequencies. A passive antenna cannot reflect more power than it receives (|S</w:t>
      </w:r>
      <w:r>
        <w:rPr>
          <w:rFonts w:ascii="Times New Roman" w:hAnsi="Times New Roman" w:cs="Times New Roman"/>
          <w:sz w:val="24"/>
          <w:szCs w:val="24"/>
          <w:vertAlign w:val="subscript"/>
        </w:rPr>
        <w:t>11</w:t>
      </w:r>
      <w:r>
        <w:rPr>
          <w:rFonts w:ascii="Times New Roman" w:hAnsi="Times New Roman" w:cs="Times New Roman"/>
          <w:sz w:val="24"/>
          <w:szCs w:val="24"/>
        </w:rPr>
        <w:t>| ≤ 0 dB), so these are numerical artefacts of the broadband frequency sweep for those parameter values, not physical behaviour. They do not affect the selected design, whose final response (Fig. 7) is smooth; the affected points will be re-simulated with denser frequency sampling.</w:t>
      </w:r>
    </w:p>
    <w:p>
      <w:pPr>
        <w:pStyle w:val="Heading2"/>
        <w:rPr>
          <w:rFonts w:ascii="Times New Roman" w:hAnsi="Times New Roman" w:cs="Times New Roman"/>
          <w:sz w:val="24"/>
          <w:szCs w:val="24"/>
        </w:rPr>
      </w:pPr>
      <w:r>
        <w:rPr>
          <w:rFonts w:ascii="Times New Roman" w:hAnsi="Times New Roman" w:cs="Times New Roman"/>
          <w:i/>
          <w:sz w:val="24"/>
          <w:szCs w:val="24"/>
        </w:rPr>
        <w:t>Optimised Antenna</w:t>
      </w:r>
    </w:p>
    <w:p>
      <w:pPr>
        <w:jc w:val="both"/>
      </w:pPr>
      <w:r>
        <w:rPr>
          <w:rFonts w:ascii="Times New Roman" w:hAnsi="Times New Roman" w:cs="Times New Roman"/>
          <w:sz w:val="24"/>
          <w:szCs w:val="24"/>
        </w:rPr>
        <w:t>Fig. 7 shows the response of the optimised antenna (L</w:t>
      </w:r>
      <w:r>
        <w:rPr>
          <w:rFonts w:ascii="Times New Roman" w:hAnsi="Times New Roman" w:cs="Times New Roman"/>
          <w:sz w:val="24"/>
          <w:szCs w:val="24"/>
          <w:vertAlign w:val="subscript"/>
        </w:rPr>
        <w:t>g</w:t>
      </w:r>
      <w:r>
        <w:rPr>
          <w:rFonts w:ascii="Times New Roman" w:hAnsi="Times New Roman" w:cs="Times New Roman"/>
          <w:sz w:val="24"/>
          <w:szCs w:val="24"/>
        </w:rPr>
        <w:t xml:space="preserve"> = −7 mm, R = 15 mm). |S</w:t>
      </w:r>
      <w:r>
        <w:rPr>
          <w:rFonts w:ascii="Times New Roman" w:hAnsi="Times New Roman" w:cs="Times New Roman"/>
          <w:sz w:val="24"/>
          <w:szCs w:val="24"/>
          <w:vertAlign w:val="subscript"/>
        </w:rPr>
        <w:t>11</w:t>
      </w:r>
      <w:r>
        <w:rPr>
          <w:rFonts w:ascii="Times New Roman" w:hAnsi="Times New Roman" w:cs="Times New Roman"/>
          <w:sz w:val="24"/>
          <w:szCs w:val="24"/>
        </w:rPr>
        <w:t>| stays below −10 dB from 2.16 GHz to 15.73 GHz, a fractional bandwidth of 151.7 % from (2), which covers the entire UWB band with margin at both ends. Four resonances, at 2.73 GHz (-32.6 dB), 4.78 GHz (-21.2 dB), 9.23 GHz (-22.6 dB), 14.32 GHz (-27.1 dB), overlap to form the band. The weakest points are near 6.5 GHz and 12.2 GHz, where |S</w:t>
      </w:r>
      <w:r>
        <w:rPr>
          <w:rFonts w:ascii="Times New Roman" w:hAnsi="Times New Roman" w:cs="Times New Roman"/>
          <w:sz w:val="24"/>
          <w:szCs w:val="24"/>
          <w:vertAlign w:val="subscript"/>
        </w:rPr>
        <w:t>11</w:t>
      </w:r>
      <w:r>
        <w:rPr>
          <w:rFonts w:ascii="Times New Roman" w:hAnsi="Times New Roman" w:cs="Times New Roman"/>
          <w:sz w:val="24"/>
          <w:szCs w:val="24"/>
        </w:rPr>
        <w:t>| is only about −10.3 dB and −10.5 dB; these points will be watched when the metasurface is added.</w:t>
      </w:r>
    </w:p>
    <w:p>
      <w:pPr>
        <w:keepNext/>
        <w:spacing w:after="40"/>
        <w:jc w:val="center"/>
      </w:pPr>
      <w:r>
        <w:drawing>
          <wp:inline xmlns:a="http://schemas.openxmlformats.org/drawingml/2006/main" xmlns:pic="http://schemas.openxmlformats.org/drawingml/2006/picture">
            <wp:extent cx="4389120" cy="1839670"/>
            <wp:docPr id="6" name="Picture 6"/>
            <wp:cNvGraphicFramePr>
              <a:graphicFrameLocks noChangeAspect="1"/>
            </wp:cNvGraphicFramePr>
            <a:graphic>
              <a:graphicData uri="http://schemas.openxmlformats.org/drawingml/2006/picture">
                <pic:pic>
                  <pic:nvPicPr>
                    <pic:cNvPr id="0" name="cst_single_final_s11_markers.png"/>
                    <pic:cNvPicPr/>
                  </pic:nvPicPr>
                  <pic:blipFill>
                    <a:blip r:embed="rId13"/>
                    <a:stretch>
                      <a:fillRect/>
                    </a:stretch>
                  </pic:blipFill>
                  <pic:spPr>
                    <a:xfrm>
                      <a:off x="0" y="0"/>
                      <a:ext cx="4389120" cy="1839670"/>
                    </a:xfrm>
                    <a:prstGeom prst="rect"/>
                  </pic:spPr>
                </pic:pic>
              </a:graphicData>
            </a:graphic>
          </wp:inline>
        </w:drawing>
      </w:r>
    </w:p>
    <w:p>
      <w:pPr>
        <w:keepNext/>
        <w:spacing w:after="40"/>
        <w:jc w:val="center"/>
      </w:pPr>
      <w:r>
        <w:drawing>
          <wp:inline xmlns:a="http://schemas.openxmlformats.org/drawingml/2006/main" xmlns:pic="http://schemas.openxmlformats.org/drawingml/2006/picture">
            <wp:extent cx="4389120" cy="1839670"/>
            <wp:docPr id="7" name="Picture 7"/>
            <wp:cNvGraphicFramePr>
              <a:graphicFrameLocks noChangeAspect="1"/>
            </wp:cNvGraphicFramePr>
            <a:graphic>
              <a:graphicData uri="http://schemas.openxmlformats.org/drawingml/2006/picture">
                <pic:pic>
                  <pic:nvPicPr>
                    <pic:cNvPr id="0" name="cst_single_final_s11_bandwidth.png"/>
                    <pic:cNvPicPr/>
                  </pic:nvPicPr>
                  <pic:blipFill>
                    <a:blip r:embed="rId14"/>
                    <a:stretch>
                      <a:fillRect/>
                    </a:stretch>
                  </pic:blipFill>
                  <pic:spPr>
                    <a:xfrm>
                      <a:off x="0" y="0"/>
                      <a:ext cx="4389120" cy="1839670"/>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7</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w:t>
      </w:r>
      <w:r>
        <w:rPr>
          <w:rFonts w:ascii="Times New Roman" w:hAnsi="Times New Roman" w:cs="Times New Roman"/>
          <w:sz w:val="20"/>
          <w:szCs w:val="20"/>
          <w:vertAlign w:val="subscript"/>
        </w:rPr>
        <w:t>11</w:t>
      </w:r>
      <w:r>
        <w:rPr>
          <w:rFonts w:ascii="Times New Roman" w:hAnsi="Times New Roman" w:cs="Times New Roman"/>
          <w:sz w:val="20"/>
          <w:szCs w:val="20"/>
        </w:rPr>
        <w:t>| of the optimised antenna: (top) resonance markers, (bottom) −10 dB band edges at 2.1615 GHz and 15.734 GHz.</w:t>
      </w:r>
    </w:p>
    <w:p>
      <w:pPr>
        <w:jc w:val="both"/>
      </w:pPr>
      <w:r>
        <w:rPr>
          <w:rFonts w:ascii="Times New Roman" w:hAnsi="Times New Roman" w:cs="Times New Roman"/>
          <w:sz w:val="24"/>
          <w:szCs w:val="24"/>
        </w:rPr>
        <w:t>Fig. 8 shows the simulated IEEE gain. It rises from about 1 dBi at 2 GHz to 3.3 dBi near 3.6 GHz, stays between about 2.9 and 4.9 dBi across 3.1–10.6 GHz (lowest near 6.3 GHz, highest near 8.5 GHz) and peaks at ≈ 5.1 dBi at ≈ 13.5 GHz (values read from the plot). These values are typical of a printed monopole that radiates on both sides of the board, and they are the baseline the metasurface has to improve. Realized gain and radiation patterns will be added with the metasurface results.</w:t>
      </w:r>
    </w:p>
    <w:p>
      <w:pPr>
        <w:keepNext/>
        <w:spacing w:after="40"/>
        <w:jc w:val="center"/>
      </w:pPr>
      <w:r>
        <w:drawing>
          <wp:inline xmlns:a="http://schemas.openxmlformats.org/drawingml/2006/main" xmlns:pic="http://schemas.openxmlformats.org/drawingml/2006/picture">
            <wp:extent cx="4389120" cy="1839670"/>
            <wp:docPr id="8" name="Picture 8"/>
            <wp:cNvGraphicFramePr>
              <a:graphicFrameLocks noChangeAspect="1"/>
            </wp:cNvGraphicFramePr>
            <a:graphic>
              <a:graphicData uri="http://schemas.openxmlformats.org/drawingml/2006/picture">
                <pic:pic>
                  <pic:nvPicPr>
                    <pic:cNvPr id="0" name="cst_single_final_gain_ieee.png"/>
                    <pic:cNvPicPr/>
                  </pic:nvPicPr>
                  <pic:blipFill>
                    <a:blip r:embed="rId15"/>
                    <a:stretch>
                      <a:fillRect/>
                    </a:stretch>
                  </pic:blipFill>
                  <pic:spPr>
                    <a:xfrm>
                      <a:off x="0" y="0"/>
                      <a:ext cx="4389120" cy="1839670"/>
                    </a:xfrm>
                    <a:prstGeom prst="rect"/>
                  </pic:spPr>
                </pic:pic>
              </a:graphicData>
            </a:graphic>
          </wp:inline>
        </w:drawing>
      </w:r>
    </w:p>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8</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Simulated IEEE gain of the optimised antenna versus frequency.</w:t>
      </w: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Simulated performance of the optimised antenna (no metasurface).</w:t>
      </w:r>
    </w:p>
    <w:tbl>
      <w:tblPr>
        <w:tblStyle w:val="TableGrid"/>
        <w:tblW w:type="auto" w:w="0"/>
        <w:jc w:val="center"/>
        <w:tblLayout w:type="fixed"/>
        <w:tblLook w:firstColumn="1" w:firstRow="1" w:lastColumn="0" w:lastRow="0" w:noHBand="0" w:noVBand="1" w:val="04A0"/>
      </w:tblPr>
      <w:tblGrid>
        <w:gridCol w:w="3744"/>
        <w:gridCol w:w="4896"/>
      </w:tblGrid>
      <w:tr>
        <w:trPr>
          <w:tblHeader/>
        </w:trPr>
        <w:tc>
          <w:tcPr>
            <w:tcW w:type="dxa" w:w="3744"/>
            <w:vAlign w:val="center"/>
            <w:shd w:val="clear" w:color="auto" w:fill="D9D9D9"/>
          </w:tcPr>
          <w:p>
            <w:pPr>
              <w:spacing w:after="0" w:line="240" w:lineRule="auto"/>
              <w:jc w:val="left"/>
            </w:pPr>
            <w:r>
              <w:rPr>
                <w:rFonts w:ascii="Times New Roman" w:hAnsi="Times New Roman" w:cs="Times New Roman"/>
                <w:b/>
                <w:sz w:val="20"/>
                <w:szCs w:val="20"/>
              </w:rPr>
              <w:t>Quantity</w:t>
            </w:r>
          </w:p>
        </w:tc>
        <w:tc>
          <w:tcPr>
            <w:tcW w:type="dxa" w:w="4896"/>
            <w:vAlign w:val="center"/>
            <w:shd w:val="clear" w:color="auto" w:fill="D9D9D9"/>
          </w:tcPr>
          <w:p>
            <w:pPr>
              <w:spacing w:after="0" w:line="240" w:lineRule="auto"/>
              <w:jc w:val="center"/>
            </w:pPr>
            <w:r>
              <w:rPr>
                <w:rFonts w:ascii="Times New Roman" w:hAnsi="Times New Roman" w:cs="Times New Roman"/>
                <w:b/>
                <w:sz w:val="20"/>
                <w:szCs w:val="20"/>
              </w:rPr>
              <w:t>Value</w:t>
            </w:r>
          </w:p>
        </w:tc>
      </w:tr>
      <w:tr>
        <w:tc>
          <w:tcPr>
            <w:tcW w:type="dxa" w:w="3744"/>
            <w:vAlign w:val="center"/>
          </w:tcPr>
          <w:p>
            <w:pPr>
              <w:spacing w:after="0" w:line="240" w:lineRule="auto"/>
              <w:jc w:val="left"/>
            </w:pPr>
            <w:r>
              <w:rPr>
                <w:rFonts w:ascii="Times New Roman" w:hAnsi="Times New Roman" w:cs="Times New Roman"/>
                <w:sz w:val="20"/>
                <w:szCs w:val="20"/>
              </w:rPr>
              <w:t>−10 dB band</w:t>
            </w:r>
          </w:p>
        </w:tc>
        <w:tc>
          <w:tcPr>
            <w:tcW w:type="dxa" w:w="4896"/>
            <w:vAlign w:val="center"/>
          </w:tcPr>
          <w:p>
            <w:pPr>
              <w:spacing w:after="0" w:line="240" w:lineRule="auto"/>
              <w:jc w:val="center"/>
            </w:pPr>
            <w:r>
              <w:rPr>
                <w:rFonts w:ascii="Times New Roman" w:hAnsi="Times New Roman" w:cs="Times New Roman"/>
                <w:sz w:val="20"/>
                <w:szCs w:val="20"/>
              </w:rPr>
              <w:t>2.16–15.73 GHz</w:t>
            </w:r>
          </w:p>
        </w:tc>
      </w:tr>
      <w:tr>
        <w:tc>
          <w:tcPr>
            <w:tcW w:type="dxa" w:w="3744"/>
            <w:vAlign w:val="center"/>
          </w:tcPr>
          <w:p>
            <w:pPr>
              <w:spacing w:after="0" w:line="240" w:lineRule="auto"/>
              <w:jc w:val="left"/>
            </w:pPr>
            <w:r>
              <w:rPr>
                <w:rFonts w:ascii="Times New Roman" w:hAnsi="Times New Roman" w:cs="Times New Roman"/>
                <w:sz w:val="20"/>
                <w:szCs w:val="20"/>
              </w:rPr>
              <w:t>Fractional bandwidth</w:t>
            </w:r>
          </w:p>
        </w:tc>
        <w:tc>
          <w:tcPr>
            <w:tcW w:type="dxa" w:w="4896"/>
            <w:vAlign w:val="center"/>
          </w:tcPr>
          <w:p>
            <w:pPr>
              <w:spacing w:after="0" w:line="240" w:lineRule="auto"/>
              <w:jc w:val="center"/>
            </w:pPr>
            <w:r>
              <w:rPr>
                <w:rFonts w:ascii="Times New Roman" w:hAnsi="Times New Roman" w:cs="Times New Roman"/>
                <w:sz w:val="20"/>
                <w:szCs w:val="20"/>
              </w:rPr>
              <w:t>151.7 %</w:t>
            </w:r>
          </w:p>
        </w:tc>
      </w:tr>
      <w:tr>
        <w:tc>
          <w:tcPr>
            <w:tcW w:type="dxa" w:w="3744"/>
            <w:vAlign w:val="center"/>
          </w:tcPr>
          <w:p>
            <w:pPr>
              <w:spacing w:after="0" w:line="240" w:lineRule="auto"/>
              <w:jc w:val="left"/>
            </w:pPr>
            <w:r>
              <w:rPr>
                <w:rFonts w:ascii="Times New Roman" w:hAnsi="Times New Roman" w:cs="Times New Roman"/>
                <w:sz w:val="20"/>
                <w:szCs w:val="20"/>
              </w:rPr>
              <w:t>Resonances</w:t>
            </w:r>
          </w:p>
        </w:tc>
        <w:tc>
          <w:tcPr>
            <w:tcW w:type="dxa" w:w="4896"/>
            <w:vAlign w:val="center"/>
          </w:tcPr>
          <w:p>
            <w:pPr>
              <w:spacing w:after="0" w:line="240" w:lineRule="auto"/>
              <w:jc w:val="center"/>
            </w:pPr>
            <w:r>
              <w:rPr>
                <w:rFonts w:ascii="Times New Roman" w:hAnsi="Times New Roman" w:cs="Times New Roman"/>
                <w:sz w:val="20"/>
                <w:szCs w:val="20"/>
              </w:rPr>
              <w:t>2.73, 4.78, 9.23, 14.32 GHz</w:t>
            </w:r>
          </w:p>
        </w:tc>
      </w:tr>
      <w:tr>
        <w:tc>
          <w:tcPr>
            <w:tcW w:type="dxa" w:w="3744"/>
            <w:vAlign w:val="center"/>
          </w:tcPr>
          <w:p>
            <w:pPr>
              <w:spacing w:after="0" w:line="240" w:lineRule="auto"/>
              <w:jc w:val="left"/>
            </w:pPr>
            <w:r>
              <w:rPr>
                <w:rFonts w:ascii="Times New Roman" w:hAnsi="Times New Roman" w:cs="Times New Roman"/>
                <w:sz w:val="20"/>
                <w:szCs w:val="20"/>
              </w:rPr>
              <w:t>Deepest |S</w:t>
            </w:r>
            <w:r>
              <w:rPr>
                <w:rFonts w:ascii="Times New Roman" w:hAnsi="Times New Roman" w:cs="Times New Roman"/>
                <w:sz w:val="20"/>
                <w:szCs w:val="20"/>
                <w:vertAlign w:val="subscript"/>
              </w:rPr>
              <w:t>11</w:t>
            </w:r>
            <w:r>
              <w:rPr>
                <w:rFonts w:ascii="Times New Roman" w:hAnsi="Times New Roman" w:cs="Times New Roman"/>
                <w:sz w:val="20"/>
                <w:szCs w:val="20"/>
              </w:rPr>
              <w:t>|</w:t>
            </w:r>
          </w:p>
        </w:tc>
        <w:tc>
          <w:tcPr>
            <w:tcW w:type="dxa" w:w="4896"/>
            <w:vAlign w:val="center"/>
          </w:tcPr>
          <w:p>
            <w:pPr>
              <w:spacing w:after="0" w:line="240" w:lineRule="auto"/>
              <w:jc w:val="center"/>
            </w:pPr>
            <w:r>
              <w:rPr>
                <w:rFonts w:ascii="Times New Roman" w:hAnsi="Times New Roman" w:cs="Times New Roman"/>
                <w:sz w:val="20"/>
                <w:szCs w:val="20"/>
              </w:rPr>
              <w:t>-32.65 dB at 2.73 GHz</w:t>
            </w:r>
          </w:p>
        </w:tc>
      </w:tr>
      <w:tr>
        <w:tc>
          <w:tcPr>
            <w:tcW w:type="dxa" w:w="3744"/>
            <w:vAlign w:val="center"/>
          </w:tcPr>
          <w:p>
            <w:pPr>
              <w:spacing w:after="0" w:line="240" w:lineRule="auto"/>
              <w:jc w:val="left"/>
            </w:pPr>
            <w:r>
              <w:rPr>
                <w:rFonts w:ascii="Times New Roman" w:hAnsi="Times New Roman" w:cs="Times New Roman"/>
                <w:sz w:val="20"/>
                <w:szCs w:val="20"/>
              </w:rPr>
              <w:t>IEEE gain, 3.1–10.6 GHz</w:t>
            </w:r>
          </w:p>
        </w:tc>
        <w:tc>
          <w:tcPr>
            <w:tcW w:type="dxa" w:w="4896"/>
            <w:vAlign w:val="center"/>
          </w:tcPr>
          <w:p>
            <w:pPr>
              <w:spacing w:after="0" w:line="240" w:lineRule="auto"/>
              <w:jc w:val="center"/>
            </w:pPr>
            <w:r>
              <w:rPr>
                <w:rFonts w:ascii="Times New Roman" w:hAnsi="Times New Roman" w:cs="Times New Roman"/>
                <w:sz w:val="20"/>
                <w:szCs w:val="20"/>
              </w:rPr>
              <w:t>≈ 2.9–4.9 dBi (read from plot)</w:t>
            </w:r>
          </w:p>
        </w:tc>
      </w:tr>
      <w:tr>
        <w:tc>
          <w:tcPr>
            <w:tcW w:type="dxa" w:w="3744"/>
            <w:vAlign w:val="center"/>
          </w:tcPr>
          <w:p>
            <w:pPr>
              <w:spacing w:after="0" w:line="240" w:lineRule="auto"/>
              <w:jc w:val="left"/>
            </w:pPr>
            <w:r>
              <w:rPr>
                <w:rFonts w:ascii="Times New Roman" w:hAnsi="Times New Roman" w:cs="Times New Roman"/>
                <w:sz w:val="20"/>
                <w:szCs w:val="20"/>
              </w:rPr>
              <w:t>Peak IEEE gain</w:t>
            </w:r>
          </w:p>
        </w:tc>
        <w:tc>
          <w:tcPr>
            <w:tcW w:type="dxa" w:w="4896"/>
            <w:vAlign w:val="center"/>
          </w:tcPr>
          <w:p>
            <w:pPr>
              <w:spacing w:after="0" w:line="240" w:lineRule="auto"/>
              <w:jc w:val="center"/>
            </w:pPr>
            <w:r>
              <w:rPr>
                <w:rFonts w:ascii="Times New Roman" w:hAnsi="Times New Roman" w:cs="Times New Roman"/>
                <w:sz w:val="20"/>
                <w:szCs w:val="20"/>
              </w:rPr>
              <w:t>≈ 5.1 dBi at ≈ 13.5 GHz</w:t>
            </w:r>
          </w:p>
        </w:tc>
      </w:tr>
    </w:tbl>
    <w:p>
      <w:pPr>
        <w:spacing w:after="40"/>
      </w:pPr>
    </w:p>
    <w:p>
      <w:pPr>
        <w:pStyle w:val="Heading2"/>
        <w:rPr>
          <w:rFonts w:ascii="Times New Roman" w:hAnsi="Times New Roman" w:cs="Times New Roman"/>
          <w:sz w:val="24"/>
          <w:szCs w:val="24"/>
        </w:rPr>
      </w:pPr>
      <w:r>
        <w:rPr>
          <w:rFonts w:ascii="Times New Roman" w:hAnsi="Times New Roman" w:cs="Times New Roman"/>
          <w:i/>
          <w:sz w:val="24"/>
          <w:szCs w:val="24"/>
        </w:rPr>
        <w:t>Metasurface Unit Cell</w:t>
      </w:r>
    </w:p>
    <w:p>
      <w:pPr>
        <w:jc w:val="both"/>
      </w:pPr>
      <w:r>
        <w:rPr>
          <w:rFonts w:ascii="Times New Roman" w:hAnsi="Times New Roman" w:cs="Times New Roman"/>
          <w:sz w:val="24"/>
          <w:szCs w:val="24"/>
        </w:rPr>
        <w:t>The single-SRR unit cell is being simulated with unit-cell boundaries and a Floquet port to obtain its reflection phase, which will be compared with the window of Fig. 3. Cell: pending; period: pending; array: pending; substrate: pending.</w:t>
      </w:r>
    </w:p>
    <w:tbl>
      <w:tblPr>
        <w:tblW w:type="auto" w:w="0"/>
        <w:jc w:val="center"/>
        <w:tblLook w:firstColumn="1" w:firstRow="1" w:lastColumn="0" w:lastRow="0" w:noHBand="0" w:noVBand="1" w:val="04A0"/>
      </w:tblPr>
      <w:tblGrid>
        <w:gridCol w:w="8640"/>
      </w:tblGrid>
      <w:tr>
        <w:trPr>
          <w:trHeight w:val="1584" w:hRule="atLeast"/>
        </w:trPr>
        <w:tc>
          <w:tcPr>
            <w:tcW w:type="dxa" w:w="6912"/>
            <w:tcBorders>
              <w:top w:val="dashed" w:sz="8" w:color="808080" w:space="0"/>
              <w:left w:val="dashed" w:sz="8" w:color="808080" w:space="0"/>
              <w:bottom w:val="dashed" w:sz="8" w:color="808080" w:space="0"/>
              <w:right w:val="dashed" w:sz="8" w:color="808080" w:space="0"/>
            </w:tcBorders>
            <w:shd w:val="clear" w:color="auto" w:fill="F2F2F2"/>
            <w:vAlign w:val="center"/>
          </w:tcPr>
          <w:p>
            <w:pPr>
              <w:keepNext/>
              <w:jc w:val="center"/>
            </w:pPr>
            <w:r>
              <w:rPr>
                <w:rFonts w:ascii="Times New Roman" w:hAnsi="Times New Roman" w:cs="Times New Roman"/>
                <w:b/>
                <w:sz w:val="22"/>
                <w:szCs w:val="22"/>
              </w:rPr>
              <w:t>Result pending: CST simulation</w:t>
            </w:r>
          </w:p>
          <w:p>
            <w:pPr>
              <w:keepNext/>
              <w:jc w:val="center"/>
            </w:pPr>
            <w:r>
              <w:rPr>
                <w:rFonts w:ascii="Times New Roman" w:hAnsi="Times New Roman" w:cs="Times New Roman"/>
                <w:i/>
                <w:sz w:val="20"/>
                <w:szCs w:val="20"/>
              </w:rPr>
              <w:t>SRR unit cell geometry and reflection phase (Floquet port)</w:t>
            </w:r>
          </w:p>
        </w:tc>
      </w:tr>
    </w:tbl>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9</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SRR unit cell: geometry and simulated reflection phase.</w:t>
      </w:r>
    </w:p>
    <w:p>
      <w:pPr>
        <w:pStyle w:val="Heading2"/>
        <w:rPr>
          <w:rFonts w:ascii="Times New Roman" w:hAnsi="Times New Roman" w:cs="Times New Roman"/>
          <w:sz w:val="24"/>
          <w:szCs w:val="24"/>
        </w:rPr>
      </w:pPr>
      <w:r>
        <w:rPr>
          <w:rFonts w:ascii="Times New Roman" w:hAnsi="Times New Roman" w:cs="Times New Roman"/>
          <w:i/>
          <w:sz w:val="24"/>
          <w:szCs w:val="24"/>
        </w:rPr>
        <w:t>Antenna with the Metasurface</w:t>
      </w:r>
    </w:p>
    <w:p>
      <w:pPr>
        <w:jc w:val="both"/>
      </w:pPr>
      <w:r>
        <w:rPr>
          <w:rFonts w:ascii="Times New Roman" w:hAnsi="Times New Roman" w:cs="Times New Roman"/>
          <w:sz w:val="24"/>
          <w:szCs w:val="24"/>
        </w:rPr>
        <w:t>The antenna with the SRR metasurface 3.9 mm behind it is being simulated with the same mesh and monitors as the antenna alone, together with a plain metal plate at the same gap as a baseline.</w:t>
      </w:r>
    </w:p>
    <w:tbl>
      <w:tblPr>
        <w:tblW w:type="auto" w:w="0"/>
        <w:jc w:val="center"/>
        <w:tblLook w:firstColumn="1" w:firstRow="1" w:lastColumn="0" w:lastRow="0" w:noHBand="0" w:noVBand="1" w:val="04A0"/>
      </w:tblPr>
      <w:tblGrid>
        <w:gridCol w:w="8640"/>
      </w:tblGrid>
      <w:tr>
        <w:trPr>
          <w:trHeight w:val="1584" w:hRule="atLeast"/>
        </w:trPr>
        <w:tc>
          <w:tcPr>
            <w:tcW w:type="dxa" w:w="6912"/>
            <w:tcBorders>
              <w:top w:val="dashed" w:sz="8" w:color="808080" w:space="0"/>
              <w:left w:val="dashed" w:sz="8" w:color="808080" w:space="0"/>
              <w:bottom w:val="dashed" w:sz="8" w:color="808080" w:space="0"/>
              <w:right w:val="dashed" w:sz="8" w:color="808080" w:space="0"/>
            </w:tcBorders>
            <w:shd w:val="clear" w:color="auto" w:fill="F2F2F2"/>
            <w:vAlign w:val="center"/>
          </w:tcPr>
          <w:p>
            <w:pPr>
              <w:keepNext/>
              <w:jc w:val="center"/>
            </w:pPr>
            <w:r>
              <w:rPr>
                <w:rFonts w:ascii="Times New Roman" w:hAnsi="Times New Roman" w:cs="Times New Roman"/>
                <w:b/>
                <w:sz w:val="22"/>
                <w:szCs w:val="22"/>
              </w:rPr>
              <w:t>Result pending: CST simulation</w:t>
            </w:r>
          </w:p>
          <w:p>
            <w:pPr>
              <w:keepNext/>
              <w:jc w:val="center"/>
            </w:pPr>
            <w:r>
              <w:rPr>
                <w:rFonts w:ascii="Times New Roman" w:hAnsi="Times New Roman" w:cs="Times New Roman"/>
                <w:i/>
                <w:sz w:val="20"/>
                <w:szCs w:val="20"/>
              </w:rPr>
              <w:t>S11 and gain: no reflector / metal plate / SRR metasurface</w:t>
            </w:r>
          </w:p>
        </w:tc>
      </w:tr>
    </w:tbl>
    <w:p>
      <w:pPr>
        <w:keepNext w:val="0"/>
        <w:spacing w:after="200"/>
        <w:jc w:val="center"/>
      </w:pPr>
      <w:r>
        <w:rPr>
          <w:rFonts w:ascii="Times New Roman" w:hAnsi="Times New Roman" w:cs="Times New Roman"/>
          <w:b/>
          <w:sz w:val="20"/>
          <w:szCs w:val="20"/>
        </w:rPr>
        <w:t xml:space="preserve">Fig.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10</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|S</w:t>
      </w:r>
      <w:r>
        <w:rPr>
          <w:rFonts w:ascii="Times New Roman" w:hAnsi="Times New Roman" w:cs="Times New Roman"/>
          <w:sz w:val="20"/>
          <w:szCs w:val="20"/>
          <w:vertAlign w:val="subscript"/>
        </w:rPr>
        <w:t>11</w:t>
      </w:r>
      <w:r>
        <w:rPr>
          <w:rFonts w:ascii="Times New Roman" w:hAnsi="Times New Roman" w:cs="Times New Roman"/>
          <w:sz w:val="20"/>
          <w:szCs w:val="20"/>
        </w:rPr>
        <w:t>| and gain of the antenna without and with the SRR metasurface.</w:t>
      </w:r>
    </w:p>
    <w:p>
      <w:pPr>
        <w:pStyle w:val="Heading2"/>
        <w:rPr>
          <w:rFonts w:ascii="Times New Roman" w:hAnsi="Times New Roman" w:cs="Times New Roman"/>
          <w:sz w:val="24"/>
          <w:szCs w:val="24"/>
        </w:rPr>
      </w:pPr>
      <w:r>
        <w:rPr>
          <w:rFonts w:ascii="Times New Roman" w:hAnsi="Times New Roman" w:cs="Times New Roman"/>
          <w:i/>
          <w:sz w:val="24"/>
          <w:szCs w:val="24"/>
        </w:rPr>
        <w:t>Challenges</w:t>
      </w:r>
    </w:p>
    <w:p>
      <w:pPr>
        <w:pStyle w:val="ListBullet"/>
        <w:spacing w:after="60"/>
        <w:jc w:val="both"/>
      </w:pPr>
      <w:r>
        <w:rPr>
          <w:rFonts w:ascii="Times New Roman" w:hAnsi="Times New Roman" w:cs="Times New Roman"/>
          <w:b/>
          <w:sz w:val="24"/>
          <w:szCs w:val="24"/>
        </w:rPr>
        <w:t>Simulation time.</w:t>
      </w:r>
      <w:r>
        <w:rPr>
          <w:rFonts w:ascii="Times New Roman" w:hAnsi="Times New Roman" w:cs="Times New Roman"/>
          <w:sz w:val="24"/>
          <w:szCs w:val="24"/>
        </w:rPr>
        <w:t xml:space="preserve"> Each full-band run takes a long time on the available PC, so sweeps use coarser settings and the final design is re-run on its own.</w:t>
      </w:r>
    </w:p>
    <w:p>
      <w:pPr>
        <w:pStyle w:val="ListBullet"/>
        <w:spacing w:after="60"/>
        <w:jc w:val="both"/>
      </w:pPr>
      <w:r>
        <w:rPr>
          <w:rFonts w:ascii="Times New Roman" w:hAnsi="Times New Roman" w:cs="Times New Roman"/>
          <w:b/>
          <w:sz w:val="24"/>
          <w:szCs w:val="24"/>
        </w:rPr>
        <w:t>Sweep artefacts.</w:t>
      </w:r>
      <w:r>
        <w:rPr>
          <w:rFonts w:ascii="Times New Roman" w:hAnsi="Times New Roman" w:cs="Times New Roman"/>
          <w:sz w:val="24"/>
          <w:szCs w:val="24"/>
        </w:rPr>
        <w:t xml:space="preserve"> Non-physical steps (and one curve above 0 dB) in the broadband frequency sweeps; the affected points will be re-run with denser frequency sampling.</w:t>
      </w:r>
    </w:p>
    <w:p>
      <w:pPr>
        <w:pStyle w:val="ListBullet"/>
        <w:spacing w:after="60"/>
        <w:jc w:val="both"/>
      </w:pPr>
      <w:r>
        <w:rPr>
          <w:rFonts w:ascii="Times New Roman" w:hAnsi="Times New Roman" w:cs="Times New Roman"/>
          <w:b/>
          <w:sz w:val="24"/>
          <w:szCs w:val="24"/>
        </w:rPr>
        <w:t>Sweep limits.</w:t>
      </w:r>
      <w:r>
        <w:rPr>
          <w:rFonts w:ascii="Times New Roman" w:hAnsi="Times New Roman" w:cs="Times New Roman"/>
          <w:sz w:val="24"/>
          <w:szCs w:val="24"/>
        </w:rPr>
        <w:t xml:space="preserve"> The selected L</w:t>
      </w:r>
      <w:r>
        <w:rPr>
          <w:rFonts w:ascii="Times New Roman" w:hAnsi="Times New Roman" w:cs="Times New Roman"/>
          <w:sz w:val="24"/>
          <w:szCs w:val="24"/>
          <w:vertAlign w:val="subscript"/>
        </w:rPr>
        <w:t>g</w:t>
      </w:r>
      <w:r>
        <w:rPr>
          <w:rFonts w:ascii="Times New Roman" w:hAnsi="Times New Roman" w:cs="Times New Roman"/>
          <w:sz w:val="24"/>
          <w:szCs w:val="24"/>
        </w:rPr>
        <w:t xml:space="preserve"> and R lie at the edge of their ranges, which the board size bounds.</w:t>
      </w:r>
    </w:p>
    <w:p>
      <w:pPr>
        <w:pStyle w:val="ListBullet"/>
        <w:spacing w:after="60"/>
        <w:jc w:val="both"/>
      </w:pPr>
      <w:r>
        <w:rPr>
          <w:rFonts w:ascii="Times New Roman" w:hAnsi="Times New Roman" w:cs="Times New Roman"/>
          <w:b/>
          <w:sz w:val="24"/>
          <w:szCs w:val="24"/>
        </w:rPr>
        <w:t>Marginal matching.</w:t>
      </w:r>
      <w:r>
        <w:rPr>
          <w:rFonts w:ascii="Times New Roman" w:hAnsi="Times New Roman" w:cs="Times New Roman"/>
          <w:sz w:val="24"/>
          <w:szCs w:val="24"/>
        </w:rPr>
        <w:t xml:space="preserve"> |S</w:t>
      </w:r>
      <w:r>
        <w:rPr>
          <w:rFonts w:ascii="Times New Roman" w:hAnsi="Times New Roman" w:cs="Times New Roman"/>
          <w:sz w:val="24"/>
          <w:szCs w:val="24"/>
          <w:vertAlign w:val="subscript"/>
        </w:rPr>
        <w:t>11</w:t>
      </w:r>
      <w:r>
        <w:rPr>
          <w:rFonts w:ascii="Times New Roman" w:hAnsi="Times New Roman" w:cs="Times New Roman"/>
          <w:sz w:val="24"/>
          <w:szCs w:val="24"/>
        </w:rPr>
        <w:t>| is only about 0.3–0.5 dB below the −10 dB line near 6.5 and 12.2 GHz; the metasurface may detune these points.</w:t>
      </w:r>
    </w:p>
    <w:p>
      <w:pPr>
        <w:pStyle w:val="ListBullet"/>
        <w:spacing w:after="60"/>
        <w:jc w:val="both"/>
      </w:pPr>
      <w:r>
        <w:rPr>
          <w:rFonts w:ascii="Times New Roman" w:hAnsi="Times New Roman" w:cs="Times New Roman"/>
          <w:b/>
          <w:sz w:val="24"/>
          <w:szCs w:val="24"/>
        </w:rPr>
        <w:t>Metasurface bandwidth.</w:t>
      </w:r>
      <w:r>
        <w:rPr>
          <w:rFonts w:ascii="Times New Roman" w:hAnsi="Times New Roman" w:cs="Times New Roman"/>
          <w:sz w:val="24"/>
          <w:szCs w:val="24"/>
        </w:rPr>
        <w:t xml:space="preserve"> The antenna covers a 7:1 band, while a single SRR resonance is in phase over a much narrower range, so the metasurface is expected to raise the gain over part of the band only.</w:t>
      </w:r>
    </w:p>
    <w:p w:rsidR="00AD6F9A" w:rsidRPr="000E5FC4" w:rsidRDefault="001F4042">
      <w:pPr>
        <w:rPr>
          <w:rFonts w:ascii="Times New Roman" w:hAnsi="Times New Roman" w:cs="Times New Roman"/>
          <w:sz w:val="24"/>
          <w:szCs w:val="24"/>
        </w:rPr>
      </w:pPr>
      <w:r w:rsidRPr="000E5FC4">
        <w:rPr>
          <w:rFonts w:ascii="Times New Roman" w:hAnsi="Times New Roman" w:cs="Times New Roman"/>
          <w:sz w:val="24"/>
          <w:szCs w:val="24"/>
        </w:rPr>
        <w:br w:type="page"/>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lastRenderedPageBreak/>
        <w:t>Work Plan for Next Phase</w:t>
      </w:r>
    </w:p>
    <w:p>
      <w:pPr>
        <w:pStyle w:val="Heading2"/>
        <w:rPr>
          <w:rFonts w:ascii="Times New Roman" w:hAnsi="Times New Roman" w:cs="Times New Roman"/>
          <w:sz w:val="24"/>
          <w:szCs w:val="24"/>
        </w:rPr>
      </w:pPr>
      <w:r>
        <w:rPr>
          <w:rFonts w:ascii="Times New Roman" w:hAnsi="Times New Roman" w:cs="Times New Roman"/>
          <w:i/>
          <w:sz w:val="24"/>
          <w:szCs w:val="24"/>
        </w:rPr>
        <w:t>Completing Phase I</w:t>
      </w:r>
    </w:p>
    <w:p>
      <w:pPr>
        <w:pStyle w:val="ListBullet"/>
        <w:spacing w:after="60"/>
        <w:jc w:val="both"/>
      </w:pPr>
      <w:r>
        <w:rPr>
          <w:rFonts w:ascii="Times New Roman" w:hAnsi="Times New Roman" w:cs="Times New Roman"/>
          <w:sz w:val="24"/>
          <w:szCs w:val="24"/>
        </w:rPr>
        <w:t>Characterise the SRR unit cell (reflection phase and magnitude) and compare it with the in-phase window at h = 3.9 mm.</w:t>
      </w:r>
    </w:p>
    <w:p>
      <w:pPr>
        <w:pStyle w:val="ListBullet"/>
        <w:spacing w:after="60"/>
        <w:jc w:val="both"/>
      </w:pPr>
      <w:r>
        <w:rPr>
          <w:rFonts w:ascii="Times New Roman" w:hAnsi="Times New Roman" w:cs="Times New Roman"/>
          <w:sz w:val="24"/>
          <w:szCs w:val="24"/>
        </w:rPr>
        <w:t>Simulate the antenna with the metasurface and with a metal plate at the same gap; compare |S</w:t>
      </w:r>
      <w:r>
        <w:rPr>
          <w:rFonts w:ascii="Times New Roman" w:hAnsi="Times New Roman" w:cs="Times New Roman"/>
          <w:sz w:val="24"/>
          <w:szCs w:val="24"/>
          <w:vertAlign w:val="subscript"/>
        </w:rPr>
        <w:t>11</w:t>
      </w:r>
      <w:r>
        <w:rPr>
          <w:rFonts w:ascii="Times New Roman" w:hAnsi="Times New Roman" w:cs="Times New Roman"/>
          <w:sz w:val="24"/>
          <w:szCs w:val="24"/>
        </w:rPr>
        <w:t>|, realized gain, front-to-back ratio and radiation patterns at 4, 7 and 10 GHz.</w:t>
      </w:r>
    </w:p>
    <w:p>
      <w:pPr>
        <w:pStyle w:val="ListBullet"/>
        <w:spacing w:after="60"/>
        <w:jc w:val="both"/>
      </w:pPr>
      <w:r>
        <w:rPr>
          <w:rFonts w:ascii="Times New Roman" w:hAnsi="Times New Roman" w:cs="Times New Roman"/>
          <w:sz w:val="24"/>
          <w:szCs w:val="24"/>
        </w:rPr>
        <w:t>Re-tune L</w:t>
      </w:r>
      <w:r>
        <w:rPr>
          <w:rFonts w:ascii="Times New Roman" w:hAnsi="Times New Roman" w:cs="Times New Roman"/>
          <w:sz w:val="24"/>
          <w:szCs w:val="24"/>
          <w:vertAlign w:val="subscript"/>
        </w:rPr>
        <w:t>g</w:t>
      </w:r>
      <w:r>
        <w:rPr>
          <w:rFonts w:ascii="Times New Roman" w:hAnsi="Times New Roman" w:cs="Times New Roman"/>
          <w:sz w:val="24"/>
          <w:szCs w:val="24"/>
        </w:rPr>
        <w:t xml:space="preserve"> if the metasurface detunes the band, and re-run the sweep points that showed artefacts.</w:t>
      </w:r>
    </w:p>
    <w:p>
      <w:pPr>
        <w:pStyle w:val="Heading2"/>
        <w:rPr>
          <w:rFonts w:ascii="Times New Roman" w:hAnsi="Times New Roman" w:cs="Times New Roman"/>
          <w:sz w:val="24"/>
          <w:szCs w:val="24"/>
        </w:rPr>
      </w:pPr>
      <w:r>
        <w:rPr>
          <w:rFonts w:ascii="Times New Roman" w:hAnsi="Times New Roman" w:cs="Times New Roman"/>
          <w:i/>
          <w:sz w:val="24"/>
          <w:szCs w:val="24"/>
        </w:rPr>
        <w:t>Phase II: MIMO Antenna with Metasurface</w:t>
      </w:r>
    </w:p>
    <w:p>
      <w:pPr>
        <w:jc w:val="both"/>
      </w:pPr>
      <w:r>
        <w:rPr>
          <w:rFonts w:ascii="Times New Roman" w:hAnsi="Times New Roman" w:cs="Times New Roman"/>
          <w:sz w:val="24"/>
          <w:szCs w:val="24"/>
        </w:rPr>
        <w:t>The optimised antenna becomes the MIMO element. Two and then four elements will be placed with 90° rotations, so that neighbouring elements are orthogonally polarised, on a shared CPW ground as in practical devices; the metasurface will extend under the whole board. The design will be judged by the standard MIMO metrics [4]: isolation between ports (target above 15 dB, aiming for 20 dB), envelope correlation coefficient (target below 0.01, from S-parameters and from far-field patterns), diversity gain (close to 10 dB), total active reflection coefficient, channel capacity loss (below 0.4 bit/s/Hz) and mean effective gain. The team's Python post-processing scripts already compute all of these from CST Touchstone exports.</w:t>
      </w:r>
    </w:p>
    <w:p>
      <w:pPr>
        <w:pStyle w:val="Heading2"/>
        <w:rPr>
          <w:rFonts w:ascii="Times New Roman" w:hAnsi="Times New Roman" w:cs="Times New Roman"/>
          <w:sz w:val="24"/>
          <w:szCs w:val="24"/>
        </w:rPr>
      </w:pPr>
      <w:r>
        <w:rPr>
          <w:rFonts w:ascii="Times New Roman" w:hAnsi="Times New Roman" w:cs="Times New Roman"/>
          <w:i/>
          <w:sz w:val="24"/>
          <w:szCs w:val="24"/>
        </w:rPr>
        <w:t>Fabrication and Measurement</w:t>
      </w:r>
    </w:p>
    <w:p>
      <w:pPr>
        <w:jc w:val="both"/>
      </w:pPr>
      <w:r>
        <w:rPr>
          <w:rFonts w:ascii="Times New Roman" w:hAnsi="Times New Roman" w:cs="Times New Roman"/>
          <w:sz w:val="24"/>
          <w:szCs w:val="24"/>
        </w:rPr>
        <w:t>The antenna and the metasurface will be fabricated as separate printed boards and held 3.9 mm apart with non-metallic spacers. S-parameters will be measured on a vector network analyser and radiation patterns and gain in an anechoic chamber, then compared with simulation.</w:t>
      </w:r>
    </w:p>
    <w:p>
      <w:pPr>
        <w:pStyle w:val="Heading2"/>
        <w:rPr>
          <w:rFonts w:ascii="Times New Roman" w:hAnsi="Times New Roman" w:cs="Times New Roman"/>
          <w:sz w:val="24"/>
          <w:szCs w:val="24"/>
        </w:rPr>
      </w:pPr>
      <w:r>
        <w:rPr>
          <w:rFonts w:ascii="Times New Roman" w:hAnsi="Times New Roman" w:cs="Times New Roman"/>
          <w:i/>
          <w:sz w:val="24"/>
          <w:szCs w:val="24"/>
        </w:rPr>
        <w:t>Timeline</w:t>
      </w:r>
    </w:p>
    <w:p>
      <w:pPr>
        <w:keepNext/>
        <w:spacing w:after="80"/>
        <w:jc w:val="center"/>
      </w:pPr>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Pr>
          <w:rFonts w:ascii="Times New Roman" w:hAnsi="Times New Roman" w:cs="Times New Roman"/>
          <w:b/>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r>
        <w:rPr>
          <w:rFonts w:ascii="Times New Roman" w:hAnsi="Times New Roman" w:cs="Times New Roman"/>
          <w:sz w:val="20"/>
          <w:szCs w:val="20"/>
        </w:rPr>
        <w:t>Work plan from mid-October to the end-semester evaluation (early December).</w:t>
      </w:r>
    </w:p>
    <w:tbl>
      <w:tblPr>
        <w:tblStyle w:val="TableGrid"/>
        <w:tblW w:type="auto" w:w="0"/>
        <w:jc w:val="center"/>
        <w:tblLayout w:type="fixed"/>
        <w:tblLook w:firstColumn="1" w:firstRow="1" w:lastColumn="0" w:lastRow="0" w:noHBand="0" w:noVBand="1" w:val="04A0"/>
      </w:tblPr>
      <w:tblGrid>
        <w:gridCol w:w="1800"/>
        <w:gridCol w:w="4680"/>
        <w:gridCol w:w="2160"/>
      </w:tblGrid>
      <w:tr>
        <w:trPr>
          <w:tblHeader/>
        </w:trPr>
        <w:tc>
          <w:tcPr>
            <w:tcW w:type="dxa" w:w="1800"/>
            <w:vAlign w:val="center"/>
            <w:shd w:val="clear" w:color="auto" w:fill="D9D9D9"/>
          </w:tcPr>
          <w:p>
            <w:pPr>
              <w:spacing w:after="0" w:line="240" w:lineRule="auto"/>
              <w:jc w:val="left"/>
            </w:pPr>
            <w:r>
              <w:rPr>
                <w:rFonts w:ascii="Times New Roman" w:hAnsi="Times New Roman" w:cs="Times New Roman"/>
                <w:b/>
                <w:sz w:val="20"/>
                <w:szCs w:val="20"/>
              </w:rPr>
              <w:t>Period</w:t>
            </w:r>
          </w:p>
        </w:tc>
        <w:tc>
          <w:tcPr>
            <w:tcW w:type="dxa" w:w="4680"/>
            <w:vAlign w:val="center"/>
            <w:shd w:val="clear" w:color="auto" w:fill="D9D9D9"/>
          </w:tcPr>
          <w:p>
            <w:pPr>
              <w:spacing w:after="0" w:line="240" w:lineRule="auto"/>
              <w:jc w:val="center"/>
            </w:pPr>
            <w:r>
              <w:rPr>
                <w:rFonts w:ascii="Times New Roman" w:hAnsi="Times New Roman" w:cs="Times New Roman"/>
                <w:b/>
                <w:sz w:val="20"/>
                <w:szCs w:val="20"/>
              </w:rPr>
              <w:t>Task</w:t>
            </w:r>
          </w:p>
        </w:tc>
        <w:tc>
          <w:tcPr>
            <w:tcW w:type="dxa" w:w="2160"/>
            <w:vAlign w:val="center"/>
            <w:shd w:val="clear" w:color="auto" w:fill="D9D9D9"/>
          </w:tcPr>
          <w:p>
            <w:pPr>
              <w:spacing w:after="0" w:line="240" w:lineRule="auto"/>
              <w:jc w:val="center"/>
            </w:pPr>
            <w:r>
              <w:rPr>
                <w:rFonts w:ascii="Times New Roman" w:hAnsi="Times New Roman" w:cs="Times New Roman"/>
                <w:b/>
                <w:sz w:val="20"/>
                <w:szCs w:val="20"/>
              </w:rPr>
              <w:t>Output</w:t>
            </w:r>
          </w:p>
        </w:tc>
      </w:tr>
      <w:tr>
        <w:tc>
          <w:tcPr>
            <w:tcW w:type="dxa" w:w="1800"/>
            <w:vAlign w:val="center"/>
          </w:tcPr>
          <w:p>
            <w:pPr>
              <w:spacing w:after="0" w:line="240" w:lineRule="auto"/>
              <w:jc w:val="left"/>
            </w:pPr>
            <w:r>
              <w:rPr>
                <w:rFonts w:ascii="Times New Roman" w:hAnsi="Times New Roman" w:cs="Times New Roman"/>
                <w:sz w:val="20"/>
                <w:szCs w:val="20"/>
              </w:rPr>
              <w:t>7–15 Oct</w:t>
            </w:r>
          </w:p>
        </w:tc>
        <w:tc>
          <w:tcPr>
            <w:tcW w:type="dxa" w:w="4680"/>
            <w:vAlign w:val="center"/>
          </w:tcPr>
          <w:p>
            <w:pPr>
              <w:spacing w:after="0" w:line="240" w:lineRule="auto"/>
              <w:jc w:val="center"/>
            </w:pPr>
            <w:r>
              <w:rPr>
                <w:rFonts w:ascii="Times New Roman" w:hAnsi="Times New Roman" w:cs="Times New Roman"/>
                <w:sz w:val="20"/>
                <w:szCs w:val="20"/>
              </w:rPr>
              <w:t>Unit-cell reflection phase; antenna with metasurface; metal-plate baseline; realized gain and patterns</w:t>
            </w:r>
          </w:p>
        </w:tc>
        <w:tc>
          <w:tcPr>
            <w:tcW w:type="dxa" w:w="2160"/>
            <w:vAlign w:val="center"/>
          </w:tcPr>
          <w:p>
            <w:pPr>
              <w:spacing w:after="0" w:line="240" w:lineRule="auto"/>
              <w:jc w:val="center"/>
            </w:pPr>
            <w:r>
              <w:rPr>
                <w:rFonts w:ascii="Times New Roman" w:hAnsi="Times New Roman" w:cs="Times New Roman"/>
                <w:sz w:val="20"/>
                <w:szCs w:val="20"/>
              </w:rPr>
              <w:t>Phase I results</w:t>
            </w:r>
          </w:p>
        </w:tc>
      </w:tr>
      <w:tr>
        <w:tc>
          <w:tcPr>
            <w:tcW w:type="dxa" w:w="1800"/>
            <w:vAlign w:val="center"/>
          </w:tcPr>
          <w:p>
            <w:pPr>
              <w:spacing w:after="0" w:line="240" w:lineRule="auto"/>
              <w:jc w:val="left"/>
            </w:pPr>
            <w:r>
              <w:rPr>
                <w:rFonts w:ascii="Times New Roman" w:hAnsi="Times New Roman" w:cs="Times New Roman"/>
                <w:sz w:val="20"/>
                <w:szCs w:val="20"/>
              </w:rPr>
              <w:t>16–31 Oct</w:t>
            </w:r>
          </w:p>
        </w:tc>
        <w:tc>
          <w:tcPr>
            <w:tcW w:type="dxa" w:w="4680"/>
            <w:vAlign w:val="center"/>
          </w:tcPr>
          <w:p>
            <w:pPr>
              <w:spacing w:after="0" w:line="240" w:lineRule="auto"/>
              <w:jc w:val="center"/>
            </w:pPr>
            <w:r>
              <w:rPr>
                <w:rFonts w:ascii="Times New Roman" w:hAnsi="Times New Roman" w:cs="Times New Roman"/>
                <w:sz w:val="20"/>
                <w:szCs w:val="20"/>
              </w:rPr>
              <w:t>2-port, then 4-port layout on a shared ground; isolation study</w:t>
            </w:r>
          </w:p>
        </w:tc>
        <w:tc>
          <w:tcPr>
            <w:tcW w:type="dxa" w:w="2160"/>
            <w:vAlign w:val="center"/>
          </w:tcPr>
          <w:p>
            <w:pPr>
              <w:spacing w:after="0" w:line="240" w:lineRule="auto"/>
              <w:jc w:val="center"/>
            </w:pPr>
            <w:r>
              <w:rPr>
                <w:rFonts w:ascii="Times New Roman" w:hAnsi="Times New Roman" w:cs="Times New Roman"/>
                <w:sz w:val="20"/>
                <w:szCs w:val="20"/>
              </w:rPr>
              <w:t>MIMO S-parameters</w:t>
            </w:r>
          </w:p>
        </w:tc>
      </w:tr>
      <w:tr>
        <w:tc>
          <w:tcPr>
            <w:tcW w:type="dxa" w:w="1800"/>
            <w:vAlign w:val="center"/>
          </w:tcPr>
          <w:p>
            <w:pPr>
              <w:spacing w:after="0" w:line="240" w:lineRule="auto"/>
              <w:jc w:val="left"/>
            </w:pPr>
            <w:r>
              <w:rPr>
                <w:rFonts w:ascii="Times New Roman" w:hAnsi="Times New Roman" w:cs="Times New Roman"/>
                <w:sz w:val="20"/>
                <w:szCs w:val="20"/>
              </w:rPr>
              <w:t>1–15 Nov</w:t>
            </w:r>
          </w:p>
        </w:tc>
        <w:tc>
          <w:tcPr>
            <w:tcW w:type="dxa" w:w="4680"/>
            <w:vAlign w:val="center"/>
          </w:tcPr>
          <w:p>
            <w:pPr>
              <w:spacing w:after="0" w:line="240" w:lineRule="auto"/>
              <w:jc w:val="center"/>
            </w:pPr>
            <w:r>
              <w:rPr>
                <w:rFonts w:ascii="Times New Roman" w:hAnsi="Times New Roman" w:cs="Times New Roman"/>
                <w:sz w:val="20"/>
                <w:szCs w:val="20"/>
              </w:rPr>
              <w:t>MIMO with metasurface; ECC, DG, TARC, CCL, MEG; patterns</w:t>
            </w:r>
          </w:p>
        </w:tc>
        <w:tc>
          <w:tcPr>
            <w:tcW w:type="dxa" w:w="2160"/>
            <w:vAlign w:val="center"/>
          </w:tcPr>
          <w:p>
            <w:pPr>
              <w:spacing w:after="0" w:line="240" w:lineRule="auto"/>
              <w:jc w:val="center"/>
            </w:pPr>
            <w:r>
              <w:rPr>
                <w:rFonts w:ascii="Times New Roman" w:hAnsi="Times New Roman" w:cs="Times New Roman"/>
                <w:sz w:val="20"/>
                <w:szCs w:val="20"/>
              </w:rPr>
              <w:t>Full simulated MIMO results</w:t>
            </w:r>
          </w:p>
        </w:tc>
      </w:tr>
      <w:tr>
        <w:tc>
          <w:tcPr>
            <w:tcW w:type="dxa" w:w="1800"/>
            <w:vAlign w:val="center"/>
          </w:tcPr>
          <w:p>
            <w:pPr>
              <w:spacing w:after="0" w:line="240" w:lineRule="auto"/>
              <w:jc w:val="left"/>
            </w:pPr>
            <w:r>
              <w:rPr>
                <w:rFonts w:ascii="Times New Roman" w:hAnsi="Times New Roman" w:cs="Times New Roman"/>
                <w:sz w:val="20"/>
                <w:szCs w:val="20"/>
              </w:rPr>
              <w:t>16–25 Nov</w:t>
            </w:r>
          </w:p>
        </w:tc>
        <w:tc>
          <w:tcPr>
            <w:tcW w:type="dxa" w:w="4680"/>
            <w:vAlign w:val="center"/>
          </w:tcPr>
          <w:p>
            <w:pPr>
              <w:spacing w:after="0" w:line="240" w:lineRule="auto"/>
              <w:jc w:val="center"/>
            </w:pPr>
            <w:r>
              <w:rPr>
                <w:rFonts w:ascii="Times New Roman" w:hAnsi="Times New Roman" w:cs="Times New Roman"/>
                <w:sz w:val="20"/>
                <w:szCs w:val="20"/>
              </w:rPr>
              <w:t>Fabrication; measurement on a VNA and in an anechoic chamber</w:t>
            </w:r>
          </w:p>
        </w:tc>
        <w:tc>
          <w:tcPr>
            <w:tcW w:type="dxa" w:w="2160"/>
            <w:vAlign w:val="center"/>
          </w:tcPr>
          <w:p>
            <w:pPr>
              <w:spacing w:after="0" w:line="240" w:lineRule="auto"/>
              <w:jc w:val="center"/>
            </w:pPr>
            <w:r>
              <w:rPr>
                <w:rFonts w:ascii="Times New Roman" w:hAnsi="Times New Roman" w:cs="Times New Roman"/>
                <w:sz w:val="20"/>
                <w:szCs w:val="20"/>
              </w:rPr>
              <w:t>Measured results</w:t>
            </w:r>
          </w:p>
        </w:tc>
      </w:tr>
      <w:tr>
        <w:tc>
          <w:tcPr>
            <w:tcW w:type="dxa" w:w="1800"/>
            <w:vAlign w:val="center"/>
          </w:tcPr>
          <w:p>
            <w:pPr>
              <w:spacing w:after="0" w:line="240" w:lineRule="auto"/>
              <w:jc w:val="left"/>
            </w:pPr>
            <w:r>
              <w:rPr>
                <w:rFonts w:ascii="Times New Roman" w:hAnsi="Times New Roman" w:cs="Times New Roman"/>
                <w:sz w:val="20"/>
                <w:szCs w:val="20"/>
              </w:rPr>
              <w:t>26 Nov–early Dec</w:t>
            </w:r>
          </w:p>
        </w:tc>
        <w:tc>
          <w:tcPr>
            <w:tcW w:type="dxa" w:w="4680"/>
            <w:vAlign w:val="center"/>
          </w:tcPr>
          <w:p>
            <w:pPr>
              <w:spacing w:after="0" w:line="240" w:lineRule="auto"/>
              <w:jc w:val="center"/>
            </w:pPr>
            <w:r>
              <w:rPr>
                <w:rFonts w:ascii="Times New Roman" w:hAnsi="Times New Roman" w:cs="Times New Roman"/>
                <w:sz w:val="20"/>
                <w:szCs w:val="20"/>
              </w:rPr>
              <w:t>Comparison of measurement and simulation; final report and presentation</w:t>
            </w:r>
          </w:p>
        </w:tc>
        <w:tc>
          <w:tcPr>
            <w:tcW w:type="dxa" w:w="2160"/>
            <w:vAlign w:val="center"/>
          </w:tcPr>
          <w:p>
            <w:pPr>
              <w:spacing w:after="0" w:line="240" w:lineRule="auto"/>
              <w:jc w:val="center"/>
            </w:pPr>
            <w:r>
              <w:rPr>
                <w:rFonts w:ascii="Times New Roman" w:hAnsi="Times New Roman" w:cs="Times New Roman"/>
                <w:sz w:val="20"/>
                <w:szCs w:val="20"/>
              </w:rPr>
              <w:t>End-semester submission</w:t>
            </w:r>
          </w:p>
        </w:tc>
      </w:tr>
    </w:tbl>
    <w:p>
      <w:pPr>
        <w:spacing w:after="40"/>
      </w:pPr>
    </w:p>
    <w:p w:rsidR="00B362F6" w:rsidRPr="000E5FC4" w:rsidRDefault="00B362F6" w:rsidP="00B362F6">
      <w:pPr>
        <w:pStyle w:val="Heading1"/>
        <w:rPr>
          <w:rFonts w:ascii="Times New Roman" w:hAnsi="Times New Roman" w:cs="Times New Roman"/>
          <w:sz w:val="24"/>
          <w:szCs w:val="24"/>
        </w:rPr>
      </w:pPr>
      <w:r w:rsidRPr="000E5FC4">
        <w:rPr>
          <w:rFonts w:ascii="Times New Roman" w:hAnsi="Times New Roman" w:cs="Times New Roman"/>
          <w:sz w:val="24"/>
          <w:szCs w:val="24"/>
        </w:rPr>
        <w:t>Expected Outcomes</w:t>
      </w:r>
    </w:p>
    <w:p>
      <w:pPr>
        <w:pStyle w:val="ListBullet"/>
        <w:spacing w:after="60"/>
        <w:jc w:val="both"/>
      </w:pPr>
      <w:r>
        <w:rPr>
          <w:rFonts w:ascii="Times New Roman" w:hAnsi="Times New Roman" w:cs="Times New Roman"/>
          <w:sz w:val="24"/>
          <w:szCs w:val="24"/>
        </w:rPr>
        <w:t>A low-profile CPW-fed UWB antenna (air gap 3.9 mm, about 0.04λ</w:t>
      </w:r>
      <w:r>
        <w:rPr>
          <w:rFonts w:ascii="Times New Roman" w:hAnsi="Times New Roman" w:cs="Times New Roman"/>
          <w:sz w:val="24"/>
          <w:szCs w:val="24"/>
          <w:vertAlign w:val="subscript"/>
        </w:rPr>
        <w:t>0</w:t>
      </w:r>
      <w:r>
        <w:rPr>
          <w:rFonts w:ascii="Times New Roman" w:hAnsi="Times New Roman" w:cs="Times New Roman"/>
          <w:sz w:val="24"/>
          <w:szCs w:val="24"/>
        </w:rPr>
        <w:t xml:space="preserve"> at 3.1 GHz) whose SRR metasurface raises the forward gain and front-to-back ratio wherever its reflection phase meets the in-phase condition, while keeping the 2.16–15.73 GHz impedance band.</w:t>
      </w:r>
    </w:p>
    <w:p>
      <w:pPr>
        <w:pStyle w:val="ListBullet"/>
        <w:spacing w:after="60"/>
        <w:jc w:val="both"/>
      </w:pPr>
      <w:r>
        <w:rPr>
          <w:rFonts w:ascii="Times New Roman" w:hAnsi="Times New Roman" w:cs="Times New Roman"/>
          <w:sz w:val="24"/>
          <w:szCs w:val="24"/>
        </w:rPr>
        <w:t>A fair comparison of no reflector, a metal plate and the SRR metasurface at the same gap.</w:t>
      </w:r>
    </w:p>
    <w:p>
      <w:pPr>
        <w:pStyle w:val="ListBullet"/>
        <w:spacing w:after="60"/>
        <w:jc w:val="both"/>
      </w:pPr>
      <w:r>
        <w:rPr>
          <w:rFonts w:ascii="Times New Roman" w:hAnsi="Times New Roman" w:cs="Times New Roman"/>
          <w:sz w:val="24"/>
          <w:szCs w:val="24"/>
        </w:rPr>
        <w:t>A 2-/4-port MIMO antenna with the metasurface, with isolation above 15 dB (target 20 dB) and ECC below 0.01 across the UWB band.</w:t>
      </w:r>
    </w:p>
    <w:p>
      <w:pPr>
        <w:pStyle w:val="ListBullet"/>
        <w:spacing w:after="60"/>
        <w:jc w:val="both"/>
      </w:pPr>
      <w:r>
        <w:rPr>
          <w:rFonts w:ascii="Times New Roman" w:hAnsi="Times New Roman" w:cs="Times New Roman"/>
          <w:sz w:val="24"/>
          <w:szCs w:val="24"/>
        </w:rPr>
        <w:t>A fabricated and measured prototype, and a draft paper.</w:t>
      </w:r>
    </w:p>
    <w:p w:rsidR="00AD6F9A" w:rsidRPr="000E5FC4" w:rsidRDefault="001F4042">
      <w:pPr>
        <w:pStyle w:val="Heading1"/>
        <w:rPr>
          <w:rFonts w:ascii="Times New Roman" w:hAnsi="Times New Roman" w:cs="Times New Roman"/>
          <w:sz w:val="24"/>
          <w:szCs w:val="24"/>
        </w:rPr>
      </w:pPr>
      <w:r w:rsidRPr="000E5FC4">
        <w:rPr>
          <w:rFonts w:ascii="Times New Roman" w:hAnsi="Times New Roman" w:cs="Times New Roman"/>
          <w:sz w:val="24"/>
          <w:szCs w:val="24"/>
        </w:rPr>
        <w:t>References</w:t>
      </w:r>
    </w:p>
    <w:p>
      <w:pPr>
        <w:tabs>
          <w:tab w:pos="648" w:val="left"/>
        </w:tabs>
        <w:spacing w:after="80" w:line="240" w:lineRule="auto"/>
        <w:ind w:left="648" w:hanging="648"/>
        <w:jc w:val="both"/>
      </w:pPr>
      <w:r>
        <w:rPr>
          <w:rFonts w:ascii="Times New Roman" w:hAnsi="Times New Roman" w:cs="Times New Roman"/>
          <w:sz w:val="24"/>
          <w:szCs w:val="24"/>
        </w:rPr>
        <w:t>[1]</w:t>
        <w:tab/>
        <w:t>Federal Communications Commission, “Revision of Part 15 of the Commission’s rules regarding ultra-wideband transmission systems,” First Report and Order, ET Docket 98-153, FCC 02-48, Apr. 2002.</w:t>
      </w:r>
    </w:p>
    <w:p>
      <w:pPr>
        <w:tabs>
          <w:tab w:pos="648" w:val="left"/>
        </w:tabs>
        <w:spacing w:after="80" w:line="240" w:lineRule="auto"/>
        <w:ind w:left="648" w:hanging="648"/>
        <w:jc w:val="both"/>
      </w:pPr>
      <w:r>
        <w:rPr>
          <w:rFonts w:ascii="Times New Roman" w:hAnsi="Times New Roman" w:cs="Times New Roman"/>
          <w:sz w:val="24"/>
          <w:szCs w:val="24"/>
        </w:rPr>
        <w:t>[2]</w:t>
        <w:tab/>
        <w:t xml:space="preserve">G. J. Foschini and M. J. Gans, “On limits of wireless communications in a fading environment when using multiple antennas,” </w:t>
      </w:r>
      <w:r>
        <w:rPr>
          <w:rFonts w:ascii="Times New Roman" w:hAnsi="Times New Roman" w:cs="Times New Roman"/>
          <w:i/>
          <w:sz w:val="24"/>
          <w:szCs w:val="24"/>
        </w:rPr>
        <w:t>Wireless Pers. Commun.</w:t>
      </w:r>
      <w:r>
        <w:rPr>
          <w:rFonts w:ascii="Times New Roman" w:hAnsi="Times New Roman" w:cs="Times New Roman"/>
          <w:sz w:val="24"/>
          <w:szCs w:val="24"/>
        </w:rPr>
        <w:t>, vol. 6, no. 3, pp. 311–335, Mar. 1998, doi: 10.1023/A:1008889222784.</w:t>
      </w:r>
    </w:p>
    <w:p>
      <w:pPr>
        <w:tabs>
          <w:tab w:pos="648" w:val="left"/>
        </w:tabs>
        <w:spacing w:after="80" w:line="240" w:lineRule="auto"/>
        <w:ind w:left="648" w:hanging="648"/>
        <w:jc w:val="both"/>
      </w:pPr>
      <w:r>
        <w:rPr>
          <w:rFonts w:ascii="Times New Roman" w:hAnsi="Times New Roman" w:cs="Times New Roman"/>
          <w:sz w:val="24"/>
          <w:szCs w:val="24"/>
        </w:rPr>
        <w:t>[3]</w:t>
        <w:tab/>
        <w:t xml:space="preserve">E. Telatar, “Capacity of multi-antenna Gaussian channels,” </w:t>
      </w:r>
      <w:r>
        <w:rPr>
          <w:rFonts w:ascii="Times New Roman" w:hAnsi="Times New Roman" w:cs="Times New Roman"/>
          <w:i/>
          <w:sz w:val="24"/>
          <w:szCs w:val="24"/>
        </w:rPr>
        <w:t>Eur. Trans. Telecommun.</w:t>
      </w:r>
      <w:r>
        <w:rPr>
          <w:rFonts w:ascii="Times New Roman" w:hAnsi="Times New Roman" w:cs="Times New Roman"/>
          <w:sz w:val="24"/>
          <w:szCs w:val="24"/>
        </w:rPr>
        <w:t>, vol. 10, no. 6, pp. 585–595, Nov./Dec. 1999, doi: 10.1002/ett.4460100604.</w:t>
      </w:r>
    </w:p>
    <w:p>
      <w:pPr>
        <w:tabs>
          <w:tab w:pos="648" w:val="left"/>
        </w:tabs>
        <w:spacing w:after="80" w:line="240" w:lineRule="auto"/>
        <w:ind w:left="648" w:hanging="648"/>
        <w:jc w:val="both"/>
      </w:pPr>
      <w:r>
        <w:rPr>
          <w:rFonts w:ascii="Times New Roman" w:hAnsi="Times New Roman" w:cs="Times New Roman"/>
          <w:sz w:val="24"/>
          <w:szCs w:val="24"/>
        </w:rPr>
        <w:t>[4]</w:t>
        <w:tab/>
        <w:t xml:space="preserve">M. S. Sharawi, “Printed multi-band MIMO antenna systems and their performance metrics,” </w:t>
      </w:r>
      <w:r>
        <w:rPr>
          <w:rFonts w:ascii="Times New Roman" w:hAnsi="Times New Roman" w:cs="Times New Roman"/>
          <w:i/>
          <w:sz w:val="24"/>
          <w:szCs w:val="24"/>
        </w:rPr>
        <w:t>IEEE Antennas Propag. Mag.</w:t>
      </w:r>
      <w:r>
        <w:rPr>
          <w:rFonts w:ascii="Times New Roman" w:hAnsi="Times New Roman" w:cs="Times New Roman"/>
          <w:sz w:val="24"/>
          <w:szCs w:val="24"/>
        </w:rPr>
        <w:t>, vol. 55, no. 5, pp. 218–232, Oct. 2013, doi: 10.1109/MAP.2013.6735522.</w:t>
      </w:r>
    </w:p>
    <w:p>
      <w:pPr>
        <w:tabs>
          <w:tab w:pos="648" w:val="left"/>
        </w:tabs>
        <w:spacing w:after="80" w:line="240" w:lineRule="auto"/>
        <w:ind w:left="648" w:hanging="648"/>
        <w:jc w:val="both"/>
      </w:pPr>
      <w:r>
        <w:rPr>
          <w:rFonts w:ascii="Times New Roman" w:hAnsi="Times New Roman" w:cs="Times New Roman"/>
          <w:sz w:val="24"/>
          <w:szCs w:val="24"/>
        </w:rPr>
        <w:t>[5]</w:t>
        <w:tab/>
        <w:t xml:space="preserve">N. P. Agrawall, G. Kumar, and K. P. Ray, “Wide-band planar monopole antennas,” </w:t>
      </w:r>
      <w:r>
        <w:rPr>
          <w:rFonts w:ascii="Times New Roman" w:hAnsi="Times New Roman" w:cs="Times New Roman"/>
          <w:i/>
          <w:sz w:val="24"/>
          <w:szCs w:val="24"/>
        </w:rPr>
        <w:t>IEEE Trans. Antennas Propag.</w:t>
      </w:r>
      <w:r>
        <w:rPr>
          <w:rFonts w:ascii="Times New Roman" w:hAnsi="Times New Roman" w:cs="Times New Roman"/>
          <w:sz w:val="24"/>
          <w:szCs w:val="24"/>
        </w:rPr>
        <w:t>, vol. 46, no. 2, pp. 294–295, Feb. 1998, doi: 10.1109/8.660976.</w:t>
      </w:r>
    </w:p>
    <w:p>
      <w:pPr>
        <w:tabs>
          <w:tab w:pos="648" w:val="left"/>
        </w:tabs>
        <w:spacing w:after="80" w:line="240" w:lineRule="auto"/>
        <w:ind w:left="648" w:hanging="648"/>
        <w:jc w:val="both"/>
      </w:pPr>
      <w:r>
        <w:rPr>
          <w:rFonts w:ascii="Times New Roman" w:hAnsi="Times New Roman" w:cs="Times New Roman"/>
          <w:sz w:val="24"/>
          <w:szCs w:val="24"/>
        </w:rPr>
        <w:t>[6]</w:t>
        <w:tab/>
        <w:t xml:space="preserve">K. P. Ray, “Design aspects of printed monopole antennas for ultra-wide band applications,” </w:t>
      </w:r>
      <w:r>
        <w:rPr>
          <w:rFonts w:ascii="Times New Roman" w:hAnsi="Times New Roman" w:cs="Times New Roman"/>
          <w:i/>
          <w:sz w:val="24"/>
          <w:szCs w:val="24"/>
        </w:rPr>
        <w:t>Int. J. Antennas Propag.</w:t>
      </w:r>
      <w:r>
        <w:rPr>
          <w:rFonts w:ascii="Times New Roman" w:hAnsi="Times New Roman" w:cs="Times New Roman"/>
          <w:sz w:val="24"/>
          <w:szCs w:val="24"/>
        </w:rPr>
        <w:t>, vol. 2008, Art. no. 713858, 2008, doi: 10.1155/2008/713858.</w:t>
      </w:r>
    </w:p>
    <w:p>
      <w:pPr>
        <w:tabs>
          <w:tab w:pos="648" w:val="left"/>
        </w:tabs>
        <w:spacing w:after="80" w:line="240" w:lineRule="auto"/>
        <w:ind w:left="648" w:hanging="648"/>
        <w:jc w:val="both"/>
      </w:pPr>
      <w:r>
        <w:rPr>
          <w:rFonts w:ascii="Times New Roman" w:hAnsi="Times New Roman" w:cs="Times New Roman"/>
          <w:sz w:val="24"/>
          <w:szCs w:val="24"/>
        </w:rPr>
        <w:t>[7]</w:t>
        <w:tab/>
        <w:t xml:space="preserve">R. N. Simons, </w:t>
      </w:r>
      <w:r>
        <w:rPr>
          <w:rFonts w:ascii="Times New Roman" w:hAnsi="Times New Roman" w:cs="Times New Roman"/>
          <w:i/>
          <w:sz w:val="24"/>
          <w:szCs w:val="24"/>
        </w:rPr>
        <w:t>Coplanar Waveguide Circuits, Components, and Systems</w:t>
      </w:r>
      <w:r>
        <w:rPr>
          <w:rFonts w:ascii="Times New Roman" w:hAnsi="Times New Roman" w:cs="Times New Roman"/>
          <w:sz w:val="24"/>
          <w:szCs w:val="24"/>
        </w:rPr>
        <w:t>. New York, NY, USA: Wiley, 2001, doi: 10.1002/0471224758.</w:t>
      </w:r>
    </w:p>
    <w:p>
      <w:pPr>
        <w:tabs>
          <w:tab w:pos="648" w:val="left"/>
        </w:tabs>
        <w:spacing w:after="80" w:line="240" w:lineRule="auto"/>
        <w:ind w:left="648" w:hanging="648"/>
        <w:jc w:val="both"/>
      </w:pPr>
      <w:r>
        <w:rPr>
          <w:rFonts w:ascii="Times New Roman" w:hAnsi="Times New Roman" w:cs="Times New Roman"/>
          <w:sz w:val="24"/>
          <w:szCs w:val="24"/>
        </w:rPr>
        <w:t>[8]</w:t>
        <w:tab/>
        <w:t xml:space="preserve">C. A. Balanis, </w:t>
      </w:r>
      <w:r>
        <w:rPr>
          <w:rFonts w:ascii="Times New Roman" w:hAnsi="Times New Roman" w:cs="Times New Roman"/>
          <w:i/>
          <w:sz w:val="24"/>
          <w:szCs w:val="24"/>
        </w:rPr>
        <w:t>Antenna Theory: Analysis and Design</w:t>
      </w:r>
      <w:r>
        <w:rPr>
          <w:rFonts w:ascii="Times New Roman" w:hAnsi="Times New Roman" w:cs="Times New Roman"/>
          <w:sz w:val="24"/>
          <w:szCs w:val="24"/>
        </w:rPr>
        <w:t>, 4th ed. Hoboken, NJ, USA: Wiley, 2016.</w:t>
      </w:r>
    </w:p>
    <w:p>
      <w:pPr>
        <w:tabs>
          <w:tab w:pos="648" w:val="left"/>
        </w:tabs>
        <w:spacing w:after="80" w:line="240" w:lineRule="auto"/>
        <w:ind w:left="648" w:hanging="648"/>
        <w:jc w:val="both"/>
      </w:pPr>
      <w:r>
        <w:rPr>
          <w:rFonts w:ascii="Times New Roman" w:hAnsi="Times New Roman" w:cs="Times New Roman"/>
          <w:sz w:val="24"/>
          <w:szCs w:val="24"/>
        </w:rPr>
        <w:t>[9]</w:t>
        <w:tab/>
        <w:t xml:space="preserve">C. L. Holloway, E. F. Kuester, J. A. Gordon, J. O’Hara, J. Booth, and D. R. Smith, “An overview of the theory and applications of metasurfaces: The two-dimensional equivalents of metamaterials,” </w:t>
      </w:r>
      <w:r>
        <w:rPr>
          <w:rFonts w:ascii="Times New Roman" w:hAnsi="Times New Roman" w:cs="Times New Roman"/>
          <w:i/>
          <w:sz w:val="24"/>
          <w:szCs w:val="24"/>
        </w:rPr>
        <w:t>IEEE Antennas Propag. Mag.</w:t>
      </w:r>
      <w:r>
        <w:rPr>
          <w:rFonts w:ascii="Times New Roman" w:hAnsi="Times New Roman" w:cs="Times New Roman"/>
          <w:sz w:val="24"/>
          <w:szCs w:val="24"/>
        </w:rPr>
        <w:t>, vol. 54, no. 2, pp. 10–35, Apr. 2012, doi: 10.1109/MAP.2012.6230714.</w:t>
      </w:r>
    </w:p>
    <w:p>
      <w:pPr>
        <w:tabs>
          <w:tab w:pos="648" w:val="left"/>
        </w:tabs>
        <w:spacing w:after="80" w:line="240" w:lineRule="auto"/>
        <w:ind w:left="648" w:hanging="648"/>
        <w:jc w:val="both"/>
      </w:pPr>
      <w:r>
        <w:rPr>
          <w:rFonts w:ascii="Times New Roman" w:hAnsi="Times New Roman" w:cs="Times New Roman"/>
          <w:sz w:val="24"/>
          <w:szCs w:val="24"/>
        </w:rPr>
        <w:t>[10]</w:t>
        <w:tab/>
        <w:t xml:space="preserve">D. Sievenpiper, L. Zhang, R. F. J. Broas, N. G. Alexópolous, and E. Yablonovitch, “High-impedance electromagnetic surfaces with a forbidden frequency band,” </w:t>
      </w:r>
      <w:r>
        <w:rPr>
          <w:rFonts w:ascii="Times New Roman" w:hAnsi="Times New Roman" w:cs="Times New Roman"/>
          <w:i/>
          <w:sz w:val="24"/>
          <w:szCs w:val="24"/>
        </w:rPr>
        <w:t>IEEE Trans. Microw. Theory Techn.</w:t>
      </w:r>
      <w:r>
        <w:rPr>
          <w:rFonts w:ascii="Times New Roman" w:hAnsi="Times New Roman" w:cs="Times New Roman"/>
          <w:sz w:val="24"/>
          <w:szCs w:val="24"/>
        </w:rPr>
        <w:t>, vol. 47, no. 11, pp. 2059–2074, Nov. 1999, doi: 10.1109/22.798001.</w:t>
      </w:r>
    </w:p>
    <w:p>
      <w:pPr>
        <w:tabs>
          <w:tab w:pos="648" w:val="left"/>
        </w:tabs>
        <w:spacing w:after="80" w:line="240" w:lineRule="auto"/>
        <w:ind w:left="648" w:hanging="648"/>
        <w:jc w:val="both"/>
      </w:pPr>
      <w:r>
        <w:rPr>
          <w:rFonts w:ascii="Times New Roman" w:hAnsi="Times New Roman" w:cs="Times New Roman"/>
          <w:sz w:val="24"/>
          <w:szCs w:val="24"/>
        </w:rPr>
        <w:t>[11]</w:t>
        <w:tab/>
        <w:t xml:space="preserve">F. Yang and Y. Rahmat-Samii, “Reflection phase characterizations of the EBG ground plane for low profile wire antenna applications,” </w:t>
      </w:r>
      <w:r>
        <w:rPr>
          <w:rFonts w:ascii="Times New Roman" w:hAnsi="Times New Roman" w:cs="Times New Roman"/>
          <w:i/>
          <w:sz w:val="24"/>
          <w:szCs w:val="24"/>
        </w:rPr>
        <w:t>IEEE Trans. Antennas Propag.</w:t>
      </w:r>
      <w:r>
        <w:rPr>
          <w:rFonts w:ascii="Times New Roman" w:hAnsi="Times New Roman" w:cs="Times New Roman"/>
          <w:sz w:val="24"/>
          <w:szCs w:val="24"/>
        </w:rPr>
        <w:t>, vol. 51, no. 10, pp. 2691–2703, Oct. 2003, doi: 10.1109/TAP.2003.817559.</w:t>
      </w:r>
    </w:p>
    <w:p>
      <w:pPr>
        <w:tabs>
          <w:tab w:pos="648" w:val="left"/>
        </w:tabs>
        <w:spacing w:after="80" w:line="240" w:lineRule="auto"/>
        <w:ind w:left="648" w:hanging="648"/>
        <w:jc w:val="both"/>
      </w:pPr>
      <w:r>
        <w:rPr>
          <w:rFonts w:ascii="Times New Roman" w:hAnsi="Times New Roman" w:cs="Times New Roman"/>
          <w:sz w:val="24"/>
          <w:szCs w:val="24"/>
        </w:rPr>
        <w:t>[12]</w:t>
        <w:tab/>
        <w:t xml:space="preserve">J. B. Pendry, A. J. Holden, D. J. Robbins, and W. J. Stewart, “Magnetism from conductors and enhanced nonlinear phenomena,” </w:t>
      </w:r>
      <w:r>
        <w:rPr>
          <w:rFonts w:ascii="Times New Roman" w:hAnsi="Times New Roman" w:cs="Times New Roman"/>
          <w:i/>
          <w:sz w:val="24"/>
          <w:szCs w:val="24"/>
        </w:rPr>
        <w:t>IEEE Trans. Microw. Theory Techn.</w:t>
      </w:r>
      <w:r>
        <w:rPr>
          <w:rFonts w:ascii="Times New Roman" w:hAnsi="Times New Roman" w:cs="Times New Roman"/>
          <w:sz w:val="24"/>
          <w:szCs w:val="24"/>
        </w:rPr>
        <w:t>, vol. 47, no. 11, pp. 2075–2084, Nov. 1999, doi: 10.1109/22.798002.</w:t>
      </w:r>
    </w:p>
    <w:p>
      <w:pPr>
        <w:tabs>
          <w:tab w:pos="648" w:val="left"/>
        </w:tabs>
        <w:spacing w:after="80" w:line="240" w:lineRule="auto"/>
        <w:ind w:left="648" w:hanging="648"/>
        <w:jc w:val="both"/>
      </w:pPr>
      <w:r>
        <w:rPr>
          <w:rFonts w:ascii="Times New Roman" w:hAnsi="Times New Roman" w:cs="Times New Roman"/>
          <w:sz w:val="24"/>
          <w:szCs w:val="24"/>
        </w:rPr>
        <w:t>[13]</w:t>
        <w:tab/>
        <w:t xml:space="preserve">Sen, Banerjee, Kumar, and Das, “An ultra-wideband monopole antenna with a gain enhanced performance using a novel split-ring meta-surface reflector,” </w:t>
      </w:r>
      <w:r>
        <w:rPr>
          <w:rFonts w:ascii="Times New Roman" w:hAnsi="Times New Roman" w:cs="Times New Roman"/>
          <w:i/>
          <w:sz w:val="24"/>
          <w:szCs w:val="24"/>
        </w:rPr>
        <w:t>Microw. Opt. Technol. Lett.</w:t>
      </w:r>
      <w:r>
        <w:rPr>
          <w:rFonts w:ascii="Times New Roman" w:hAnsi="Times New Roman" w:cs="Times New Roman"/>
          <w:sz w:val="24"/>
          <w:szCs w:val="24"/>
        </w:rPr>
        <w:t>, vol. 59, pp. 1296–1300, 2017, doi: 10.1002/mop.30527.</w:t>
      </w:r>
    </w:p>
    <w:p>
      <w:pPr>
        <w:tabs>
          <w:tab w:pos="648" w:val="left"/>
        </w:tabs>
        <w:spacing w:after="80" w:line="240" w:lineRule="auto"/>
        <w:ind w:left="648" w:hanging="648"/>
        <w:jc w:val="both"/>
      </w:pPr>
      <w:r>
        <w:rPr>
          <w:rFonts w:ascii="Times New Roman" w:hAnsi="Times New Roman" w:cs="Times New Roman"/>
          <w:sz w:val="24"/>
          <w:szCs w:val="24"/>
        </w:rPr>
        <w:t>[14]</w:t>
        <w:tab/>
        <w:t xml:space="preserve">M. AboEl-Hassan, A. E. Farahat, and K. F. A. Hussein, “Gain enhancement wideband CPW antenna based on artificial magnetic conductor,” </w:t>
      </w:r>
      <w:r>
        <w:rPr>
          <w:rFonts w:ascii="Times New Roman" w:hAnsi="Times New Roman" w:cs="Times New Roman"/>
          <w:i/>
          <w:sz w:val="24"/>
          <w:szCs w:val="24"/>
        </w:rPr>
        <w:t>Sci. Rep.</w:t>
      </w:r>
      <w:r>
        <w:rPr>
          <w:rFonts w:ascii="Times New Roman" w:hAnsi="Times New Roman" w:cs="Times New Roman"/>
          <w:sz w:val="24"/>
          <w:szCs w:val="24"/>
        </w:rPr>
        <w:t>, 2025, doi: 10.1038/s41598-025-89622-9.</w:t>
      </w:r>
    </w:p>
    <w:p>
      <w:pPr>
        <w:tabs>
          <w:tab w:pos="648" w:val="left"/>
        </w:tabs>
        <w:spacing w:after="80" w:line="240" w:lineRule="auto"/>
        <w:ind w:left="648" w:hanging="648"/>
        <w:jc w:val="both"/>
      </w:pPr>
      <w:r>
        <w:rPr>
          <w:rFonts w:ascii="Times New Roman" w:hAnsi="Times New Roman" w:cs="Times New Roman"/>
          <w:sz w:val="24"/>
          <w:szCs w:val="24"/>
        </w:rPr>
        <w:t>[15]</w:t>
        <w:tab/>
        <w:t xml:space="preserve">M. Hussain </w:t>
      </w:r>
      <w:r>
        <w:rPr>
          <w:rFonts w:ascii="Times New Roman" w:hAnsi="Times New Roman" w:cs="Times New Roman"/>
          <w:i/>
          <w:sz w:val="24"/>
          <w:szCs w:val="24"/>
        </w:rPr>
        <w:t>et al.</w:t>
      </w:r>
      <w:r>
        <w:rPr>
          <w:rFonts w:ascii="Times New Roman" w:hAnsi="Times New Roman" w:cs="Times New Roman"/>
          <w:sz w:val="24"/>
          <w:szCs w:val="24"/>
        </w:rPr>
        <w:t xml:space="preserve">, “Bandwidth and gain enhancement of a CPW antenna using frequency selective surface for UWB applications,” </w:t>
      </w:r>
      <w:r>
        <w:rPr>
          <w:rFonts w:ascii="Times New Roman" w:hAnsi="Times New Roman" w:cs="Times New Roman"/>
          <w:i/>
          <w:sz w:val="24"/>
          <w:szCs w:val="24"/>
        </w:rPr>
        <w:t>Micromachines</w:t>
      </w:r>
      <w:r>
        <w:rPr>
          <w:rFonts w:ascii="Times New Roman" w:hAnsi="Times New Roman" w:cs="Times New Roman"/>
          <w:sz w:val="24"/>
          <w:szCs w:val="24"/>
        </w:rPr>
        <w:t>, vol. 14, no. 3, Art. no. 591, 2023, doi: 10.3390/mi14030591.</w:t>
      </w:r>
    </w:p>
    <w:p>
      <w:pPr>
        <w:tabs>
          <w:tab w:pos="648" w:val="left"/>
        </w:tabs>
        <w:spacing w:after="80" w:line="240" w:lineRule="auto"/>
        <w:ind w:left="648" w:hanging="648"/>
        <w:jc w:val="both"/>
      </w:pPr>
      <w:r>
        <w:rPr>
          <w:rFonts w:ascii="Times New Roman" w:hAnsi="Times New Roman" w:cs="Times New Roman"/>
          <w:sz w:val="24"/>
          <w:szCs w:val="24"/>
        </w:rPr>
        <w:t>[16]</w:t>
        <w:tab/>
        <w:t xml:space="preserve">A. J. A. Al-Gburi, I. Ibrahim, Z. Zakaria, B. H. Ahmad, N. A. Shairi, and M. Y. Zeain, “High gain of UWB planar antenna utilising FSS reflector for UWB applications,” </w:t>
      </w:r>
      <w:r>
        <w:rPr>
          <w:rFonts w:ascii="Times New Roman" w:hAnsi="Times New Roman" w:cs="Times New Roman"/>
          <w:i/>
          <w:sz w:val="24"/>
          <w:szCs w:val="24"/>
        </w:rPr>
        <w:t>Comput. Mater. Contin.</w:t>
      </w:r>
      <w:r>
        <w:rPr>
          <w:rFonts w:ascii="Times New Roman" w:hAnsi="Times New Roman" w:cs="Times New Roman"/>
          <w:sz w:val="24"/>
          <w:szCs w:val="24"/>
        </w:rPr>
        <w:t>, vol. 70, no. 1, pp. 1425–1436, 2022.</w:t>
      </w:r>
    </w:p>
    <w:p>
      <w:pPr>
        <w:tabs>
          <w:tab w:pos="648" w:val="left"/>
        </w:tabs>
        <w:spacing w:after="80" w:line="240" w:lineRule="auto"/>
        <w:ind w:left="648" w:hanging="648"/>
        <w:jc w:val="both"/>
      </w:pPr>
      <w:r>
        <w:rPr>
          <w:rFonts w:ascii="Times New Roman" w:hAnsi="Times New Roman" w:cs="Times New Roman"/>
          <w:sz w:val="24"/>
          <w:szCs w:val="24"/>
        </w:rPr>
        <w:t>[17]</w:t>
        <w:tab/>
        <w:t xml:space="preserve">Hammache </w:t>
      </w:r>
      <w:r>
        <w:rPr>
          <w:rFonts w:ascii="Times New Roman" w:hAnsi="Times New Roman" w:cs="Times New Roman"/>
          <w:i/>
          <w:sz w:val="24"/>
          <w:szCs w:val="24"/>
        </w:rPr>
        <w:t>et al.</w:t>
      </w:r>
      <w:r>
        <w:rPr>
          <w:rFonts w:ascii="Times New Roman" w:hAnsi="Times New Roman" w:cs="Times New Roman"/>
          <w:sz w:val="24"/>
          <w:szCs w:val="24"/>
        </w:rPr>
        <w:t xml:space="preserve">, “Gain enhancement of compact CPW-fed ultra-wideband antenna using an FSS reflector,” </w:t>
      </w:r>
      <w:r>
        <w:rPr>
          <w:rFonts w:ascii="Times New Roman" w:hAnsi="Times New Roman" w:cs="Times New Roman"/>
          <w:i/>
          <w:sz w:val="24"/>
          <w:szCs w:val="24"/>
        </w:rPr>
        <w:t>Microw. Opt. Technol. Lett.</w:t>
      </w:r>
      <w:r>
        <w:rPr>
          <w:rFonts w:ascii="Times New Roman" w:hAnsi="Times New Roman" w:cs="Times New Roman"/>
          <w:sz w:val="24"/>
          <w:szCs w:val="24"/>
        </w:rPr>
        <w:t>, 2024, doi: 10.1002/mop.34344.</w:t>
      </w:r>
    </w:p>
    <w:p>
      <w:pPr>
        <w:tabs>
          <w:tab w:pos="648" w:val="left"/>
        </w:tabs>
        <w:spacing w:after="80" w:line="240" w:lineRule="auto"/>
        <w:ind w:left="648" w:hanging="648"/>
        <w:jc w:val="both"/>
      </w:pPr>
      <w:r>
        <w:rPr>
          <w:rFonts w:ascii="Times New Roman" w:hAnsi="Times New Roman" w:cs="Times New Roman"/>
          <w:sz w:val="24"/>
          <w:szCs w:val="24"/>
        </w:rPr>
        <w:t>[18]</w:t>
        <w:tab/>
        <w:t xml:space="preserve">M. A. Sufian, N. Hussain, H. Askari, S. G. Park, K. S. Shin, and N. Kim, “Isolation enhancement of a metasurface-based MIMO antenna using slots and shorting pins,” </w:t>
      </w:r>
      <w:r>
        <w:rPr>
          <w:rFonts w:ascii="Times New Roman" w:hAnsi="Times New Roman" w:cs="Times New Roman"/>
          <w:i/>
          <w:sz w:val="24"/>
          <w:szCs w:val="24"/>
        </w:rPr>
        <w:t>IEEE Access</w:t>
      </w:r>
      <w:r>
        <w:rPr>
          <w:rFonts w:ascii="Times New Roman" w:hAnsi="Times New Roman" w:cs="Times New Roman"/>
          <w:sz w:val="24"/>
          <w:szCs w:val="24"/>
        </w:rPr>
        <w:t>, vol. 9, pp. 73533–73543, 2021.</w:t>
      </w:r>
    </w:p>
    <w:p>
      <w:pPr>
        <w:tabs>
          <w:tab w:pos="648" w:val="left"/>
        </w:tabs>
        <w:spacing w:after="80" w:line="240" w:lineRule="auto"/>
        <w:ind w:left="648" w:hanging="648"/>
        <w:jc w:val="both"/>
      </w:pPr>
      <w:r>
        <w:rPr>
          <w:rFonts w:ascii="Times New Roman" w:hAnsi="Times New Roman" w:cs="Times New Roman"/>
          <w:sz w:val="24"/>
          <w:szCs w:val="24"/>
        </w:rPr>
        <w:t>[19]</w:t>
        <w:tab/>
        <w:t xml:space="preserve">M. M. Hasan, M. T. Islam, M. Samsuzzaman, M. H. Baharuddin, M. S. Soliman, A. Alzamil, I. I. M. Abu Sulayman, and M. S. Islam, “Gain and isolation enhancement of a wideband MIMO antenna using metasurface for 5G sub-6 GHz communication systems,” </w:t>
      </w:r>
      <w:r>
        <w:rPr>
          <w:rFonts w:ascii="Times New Roman" w:hAnsi="Times New Roman" w:cs="Times New Roman"/>
          <w:i/>
          <w:sz w:val="24"/>
          <w:szCs w:val="24"/>
        </w:rPr>
        <w:t>Sci. Rep.</w:t>
      </w:r>
      <w:r>
        <w:rPr>
          <w:rFonts w:ascii="Times New Roman" w:hAnsi="Times New Roman" w:cs="Times New Roman"/>
          <w:sz w:val="24"/>
          <w:szCs w:val="24"/>
        </w:rPr>
        <w:t>, vol. 12, 2022, doi: 10.1038/s41598-022-13522-5.</w:t>
      </w:r>
    </w:p>
    <w:p>
      <w:pPr>
        <w:tabs>
          <w:tab w:pos="648" w:val="left"/>
        </w:tabs>
        <w:spacing w:after="80" w:line="240" w:lineRule="auto"/>
        <w:ind w:left="648" w:hanging="648"/>
        <w:jc w:val="both"/>
      </w:pPr>
      <w:r>
        <w:rPr>
          <w:rFonts w:ascii="Times New Roman" w:hAnsi="Times New Roman" w:cs="Times New Roman"/>
          <w:sz w:val="24"/>
          <w:szCs w:val="24"/>
        </w:rPr>
        <w:t>[20]</w:t>
        <w:tab/>
        <w:t xml:space="preserve">A. A. Althuwayb </w:t>
      </w:r>
      <w:r>
        <w:rPr>
          <w:rFonts w:ascii="Times New Roman" w:hAnsi="Times New Roman" w:cs="Times New Roman"/>
          <w:i/>
          <w:sz w:val="24"/>
          <w:szCs w:val="24"/>
        </w:rPr>
        <w:t>et al.</w:t>
      </w:r>
      <w:r>
        <w:rPr>
          <w:rFonts w:ascii="Times New Roman" w:hAnsi="Times New Roman" w:cs="Times New Roman"/>
          <w:sz w:val="24"/>
          <w:szCs w:val="24"/>
        </w:rPr>
        <w:t xml:space="preserve">, “Metasurface-inspired flexible wearable MIMO antenna array for wireless body area network applications and biomedical telemetry devices,” </w:t>
      </w:r>
      <w:r>
        <w:rPr>
          <w:rFonts w:ascii="Times New Roman" w:hAnsi="Times New Roman" w:cs="Times New Roman"/>
          <w:i/>
          <w:sz w:val="24"/>
          <w:szCs w:val="24"/>
        </w:rPr>
        <w:t>IEEE Access</w:t>
      </w:r>
      <w:r>
        <w:rPr>
          <w:rFonts w:ascii="Times New Roman" w:hAnsi="Times New Roman" w:cs="Times New Roman"/>
          <w:sz w:val="24"/>
          <w:szCs w:val="24"/>
        </w:rPr>
        <w:t>, 2023.</w:t>
      </w:r>
    </w:p>
    <w:p>
      <w:pPr>
        <w:tabs>
          <w:tab w:pos="648" w:val="left"/>
        </w:tabs>
        <w:spacing w:after="80" w:line="240" w:lineRule="auto"/>
        <w:ind w:left="648" w:hanging="648"/>
        <w:jc w:val="both"/>
      </w:pPr>
      <w:r>
        <w:rPr>
          <w:rFonts w:ascii="Times New Roman" w:hAnsi="Times New Roman" w:cs="Times New Roman"/>
          <w:sz w:val="24"/>
          <w:szCs w:val="24"/>
        </w:rPr>
        <w:t>[21]</w:t>
        <w:tab/>
        <w:t xml:space="preserve">R. Wu, J. Dong, and M. Wang, “Wearable polarization conversion metasurface MIMO antenna for biomedical applications in 5 GHz WBAN,” </w:t>
      </w:r>
      <w:r>
        <w:rPr>
          <w:rFonts w:ascii="Times New Roman" w:hAnsi="Times New Roman" w:cs="Times New Roman"/>
          <w:i/>
          <w:sz w:val="24"/>
          <w:szCs w:val="24"/>
        </w:rPr>
        <w:t>Biosensors</w:t>
      </w:r>
      <w:r>
        <w:rPr>
          <w:rFonts w:ascii="Times New Roman" w:hAnsi="Times New Roman" w:cs="Times New Roman"/>
          <w:sz w:val="24"/>
          <w:szCs w:val="24"/>
        </w:rPr>
        <w:t>, vol. 13, no. 1, Art. no. 73, 2023, doi: 10.3390/bios13010073.</w:t>
      </w:r>
    </w:p>
    <w:p>
      <w:pPr>
        <w:tabs>
          <w:tab w:pos="648" w:val="left"/>
        </w:tabs>
        <w:spacing w:after="80" w:line="240" w:lineRule="auto"/>
        <w:ind w:left="648" w:hanging="648"/>
        <w:jc w:val="both"/>
      </w:pPr>
      <w:r>
        <w:rPr>
          <w:rFonts w:ascii="Times New Roman" w:hAnsi="Times New Roman" w:cs="Times New Roman"/>
          <w:sz w:val="24"/>
          <w:szCs w:val="24"/>
        </w:rPr>
        <w:t>[22]</w:t>
        <w:tab/>
        <w:t xml:space="preserve">“Metasurface-based wideband MIMO antenna for 5G millimeter-wave systems,” </w:t>
      </w:r>
      <w:r>
        <w:rPr>
          <w:rFonts w:ascii="Times New Roman" w:hAnsi="Times New Roman" w:cs="Times New Roman"/>
          <w:i/>
          <w:sz w:val="24"/>
          <w:szCs w:val="24"/>
        </w:rPr>
        <w:t>IEEE Access</w:t>
      </w:r>
      <w:r>
        <w:rPr>
          <w:rFonts w:ascii="Times New Roman" w:hAnsi="Times New Roman" w:cs="Times New Roman"/>
          <w:sz w:val="24"/>
          <w:szCs w:val="24"/>
        </w:rPr>
        <w:t>, 2021.</w:t>
      </w:r>
    </w:p>
    <w:sectPr w:rsidR="00AD6F9A" w:rsidRPr="000E5FC4" w:rsidSect="00034616">
      <w:footerReference w:type="default" r:id="rId16"/>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FC4"/>
    <w:rsid w:val="0015074B"/>
    <w:rsid w:val="001F4042"/>
    <w:rsid w:val="0029639D"/>
    <w:rsid w:val="00326F90"/>
    <w:rsid w:val="00AA1D8D"/>
    <w:rsid w:val="00AD6F9A"/>
    <w:rsid w:val="00AF57E0"/>
    <w:rsid w:val="00B362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6</Pages>
  <Words>96</Words>
  <Characters>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Wideband MIMO Antenna with Metasurface: Mid-Semester Report</dc:title>
  <dc:subject/>
  <dc:creator>Chanswarang Boro, Nishit Baishya, Anushka Dam, Sanjana</dc:creator>
  <cp:keywords/>
  <dc:description>generated by python-docx</dc:description>
  <cp:lastModifiedBy>Chanswarang Boro, Nishit Baishya, Anushka Dam, Sanjana</cp:lastModifiedBy>
  <cp:revision>5</cp:revision>
  <dcterms:created xsi:type="dcterms:W3CDTF">2013-12-23T23:15:00Z</dcterms:created>
  <dcterms:modified xsi:type="dcterms:W3CDTF">2025-09-10T10:21:00Z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