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01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gf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Va a la Definición de la Función (en Otro Archivo)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01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:set lazyredraw]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Aceler la ejecutación de grandes Macros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01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después del cursor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4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Deshacer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Rehacer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Linea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Palabra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26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lang w:val="es-ES"/>
              </w:rPr>
            </w:r>
            <w:r/>
            <w:r/>
            <w:r/>
            <w:r/>
          </w:p>
          <w:p>
            <w:pPr>
              <w:pStyle w:val="1158"/>
              <w:numPr>
                <w:ilvl w:val="0"/>
                <w:numId w:val="12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58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6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, y6y , y5[Up] , dG , 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010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158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158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78">
    <w:name w:val="Heading 1"/>
    <w:basedOn w:val="1154"/>
    <w:next w:val="1154"/>
    <w:link w:val="9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979">
    <w:name w:val="Heading 1 Char"/>
    <w:link w:val="978"/>
    <w:uiPriority w:val="9"/>
    <w:rPr>
      <w:rFonts w:ascii="Arial" w:hAnsi="Arial" w:cs="Arial" w:eastAsia="Arial"/>
      <w:sz w:val="40"/>
      <w:szCs w:val="40"/>
    </w:rPr>
  </w:style>
  <w:style w:type="paragraph" w:styleId="980">
    <w:name w:val="Heading 2"/>
    <w:basedOn w:val="1154"/>
    <w:next w:val="1154"/>
    <w:link w:val="9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981">
    <w:name w:val="Heading 2 Char"/>
    <w:link w:val="980"/>
    <w:uiPriority w:val="9"/>
    <w:rPr>
      <w:rFonts w:ascii="Arial" w:hAnsi="Arial" w:cs="Arial" w:eastAsia="Arial"/>
      <w:sz w:val="34"/>
    </w:rPr>
  </w:style>
  <w:style w:type="paragraph" w:styleId="982">
    <w:name w:val="Heading 3"/>
    <w:basedOn w:val="1154"/>
    <w:next w:val="1154"/>
    <w:link w:val="9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983">
    <w:name w:val="Heading 3 Char"/>
    <w:link w:val="982"/>
    <w:uiPriority w:val="9"/>
    <w:rPr>
      <w:rFonts w:ascii="Arial" w:hAnsi="Arial" w:cs="Arial" w:eastAsia="Arial"/>
      <w:sz w:val="30"/>
      <w:szCs w:val="30"/>
    </w:rPr>
  </w:style>
  <w:style w:type="paragraph" w:styleId="984">
    <w:name w:val="Heading 4"/>
    <w:basedOn w:val="1154"/>
    <w:next w:val="1154"/>
    <w:link w:val="9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985">
    <w:name w:val="Heading 4 Char"/>
    <w:link w:val="984"/>
    <w:uiPriority w:val="9"/>
    <w:rPr>
      <w:rFonts w:ascii="Arial" w:hAnsi="Arial" w:cs="Arial" w:eastAsia="Arial"/>
      <w:b/>
      <w:bCs/>
      <w:sz w:val="26"/>
      <w:szCs w:val="26"/>
    </w:rPr>
  </w:style>
  <w:style w:type="paragraph" w:styleId="986">
    <w:name w:val="Heading 5"/>
    <w:basedOn w:val="1154"/>
    <w:next w:val="1154"/>
    <w:link w:val="9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987">
    <w:name w:val="Heading 5 Char"/>
    <w:link w:val="986"/>
    <w:uiPriority w:val="9"/>
    <w:rPr>
      <w:rFonts w:ascii="Arial" w:hAnsi="Arial" w:cs="Arial" w:eastAsia="Arial"/>
      <w:b/>
      <w:bCs/>
      <w:sz w:val="24"/>
      <w:szCs w:val="24"/>
    </w:rPr>
  </w:style>
  <w:style w:type="paragraph" w:styleId="988">
    <w:name w:val="Heading 6"/>
    <w:basedOn w:val="1154"/>
    <w:next w:val="1154"/>
    <w:link w:val="9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989">
    <w:name w:val="Heading 6 Char"/>
    <w:link w:val="988"/>
    <w:uiPriority w:val="9"/>
    <w:rPr>
      <w:rFonts w:ascii="Arial" w:hAnsi="Arial" w:cs="Arial" w:eastAsia="Arial"/>
      <w:b/>
      <w:bCs/>
      <w:sz w:val="22"/>
      <w:szCs w:val="22"/>
    </w:rPr>
  </w:style>
  <w:style w:type="paragraph" w:styleId="990">
    <w:name w:val="Heading 7"/>
    <w:basedOn w:val="1154"/>
    <w:next w:val="1154"/>
    <w:link w:val="9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991">
    <w:name w:val="Heading 7 Char"/>
    <w:link w:val="9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92">
    <w:name w:val="Heading 8"/>
    <w:basedOn w:val="1154"/>
    <w:next w:val="1154"/>
    <w:link w:val="9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993">
    <w:name w:val="Heading 8 Char"/>
    <w:link w:val="992"/>
    <w:uiPriority w:val="9"/>
    <w:rPr>
      <w:rFonts w:ascii="Arial" w:hAnsi="Arial" w:cs="Arial" w:eastAsia="Arial"/>
      <w:i/>
      <w:iCs/>
      <w:sz w:val="22"/>
      <w:szCs w:val="22"/>
    </w:rPr>
  </w:style>
  <w:style w:type="paragraph" w:styleId="994">
    <w:name w:val="Heading 9"/>
    <w:basedOn w:val="1154"/>
    <w:next w:val="1154"/>
    <w:link w:val="9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995">
    <w:name w:val="Heading 9 Char"/>
    <w:link w:val="994"/>
    <w:uiPriority w:val="9"/>
    <w:rPr>
      <w:rFonts w:ascii="Arial" w:hAnsi="Arial" w:cs="Arial" w:eastAsia="Arial"/>
      <w:i/>
      <w:iCs/>
      <w:sz w:val="21"/>
      <w:szCs w:val="21"/>
    </w:rPr>
  </w:style>
  <w:style w:type="paragraph" w:styleId="996">
    <w:name w:val="Title"/>
    <w:basedOn w:val="1154"/>
    <w:next w:val="1154"/>
    <w:link w:val="9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997">
    <w:name w:val="Title Char"/>
    <w:link w:val="996"/>
    <w:uiPriority w:val="10"/>
    <w:rPr>
      <w:sz w:val="48"/>
      <w:szCs w:val="48"/>
    </w:rPr>
  </w:style>
  <w:style w:type="paragraph" w:styleId="998">
    <w:name w:val="Subtitle"/>
    <w:basedOn w:val="1154"/>
    <w:next w:val="1154"/>
    <w:link w:val="999"/>
    <w:qFormat/>
    <w:uiPriority w:val="11"/>
    <w:rPr>
      <w:sz w:val="24"/>
      <w:szCs w:val="24"/>
    </w:rPr>
    <w:pPr>
      <w:spacing w:after="200" w:before="200"/>
    </w:pPr>
  </w:style>
  <w:style w:type="character" w:styleId="999">
    <w:name w:val="Subtitle Char"/>
    <w:link w:val="998"/>
    <w:uiPriority w:val="11"/>
    <w:rPr>
      <w:sz w:val="24"/>
      <w:szCs w:val="24"/>
    </w:rPr>
  </w:style>
  <w:style w:type="paragraph" w:styleId="1000">
    <w:name w:val="Quote"/>
    <w:basedOn w:val="1154"/>
    <w:next w:val="1154"/>
    <w:link w:val="1001"/>
    <w:qFormat/>
    <w:uiPriority w:val="29"/>
    <w:rPr>
      <w:i/>
    </w:rPr>
    <w:pPr>
      <w:ind w:left="720" w:right="720"/>
    </w:pPr>
  </w:style>
  <w:style w:type="character" w:styleId="1001">
    <w:name w:val="Quote Char"/>
    <w:link w:val="1000"/>
    <w:uiPriority w:val="29"/>
    <w:rPr>
      <w:i/>
    </w:rPr>
  </w:style>
  <w:style w:type="paragraph" w:styleId="1002">
    <w:name w:val="Intense Quote"/>
    <w:basedOn w:val="1154"/>
    <w:next w:val="1154"/>
    <w:link w:val="100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03">
    <w:name w:val="Intense Quote Char"/>
    <w:link w:val="1002"/>
    <w:uiPriority w:val="30"/>
    <w:rPr>
      <w:i/>
    </w:rPr>
  </w:style>
  <w:style w:type="paragraph" w:styleId="1004">
    <w:name w:val="Header"/>
    <w:basedOn w:val="1154"/>
    <w:link w:val="10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05">
    <w:name w:val="Header Char"/>
    <w:link w:val="1004"/>
    <w:uiPriority w:val="99"/>
  </w:style>
  <w:style w:type="paragraph" w:styleId="1006">
    <w:name w:val="Footer"/>
    <w:basedOn w:val="1154"/>
    <w:link w:val="10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07">
    <w:name w:val="Footer Char"/>
    <w:link w:val="1006"/>
    <w:uiPriority w:val="99"/>
  </w:style>
  <w:style w:type="paragraph" w:styleId="1008">
    <w:name w:val="Caption"/>
    <w:basedOn w:val="1154"/>
    <w:next w:val="115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09">
    <w:name w:val="Caption Char"/>
    <w:basedOn w:val="1008"/>
    <w:link w:val="1006"/>
    <w:uiPriority w:val="99"/>
  </w:style>
  <w:style w:type="table" w:styleId="1010">
    <w:name w:val="Table Grid"/>
    <w:basedOn w:val="115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11">
    <w:name w:val="Table Grid Light"/>
    <w:basedOn w:val="115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12">
    <w:name w:val="Plain Table 1"/>
    <w:basedOn w:val="115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13">
    <w:name w:val="Plain Table 2"/>
    <w:basedOn w:val="115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14">
    <w:name w:val="Plain Table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15">
    <w:name w:val="Plain Table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Plain Table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17">
    <w:name w:val="Grid Table 1 Light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Grid Table 1 Light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9">
    <w:name w:val="Grid Table 1 Light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0">
    <w:name w:val="Grid Table 1 Light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1">
    <w:name w:val="Grid Table 1 Light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2">
    <w:name w:val="Grid Table 1 Light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Grid Table 1 Light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Grid Table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25">
    <w:name w:val="Grid Table 2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26">
    <w:name w:val="Grid Table 2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27">
    <w:name w:val="Grid Table 2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28">
    <w:name w:val="Grid Table 2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29">
    <w:name w:val="Grid Table 2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30">
    <w:name w:val="Grid Table 2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31">
    <w:name w:val="Grid Table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2">
    <w:name w:val="Grid Table 3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3">
    <w:name w:val="Grid Table 3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4">
    <w:name w:val="Grid Table 3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5">
    <w:name w:val="Grid Table 3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6">
    <w:name w:val="Grid Table 3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7">
    <w:name w:val="Grid Table 3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8">
    <w:name w:val="Grid Table 4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39">
    <w:name w:val="Grid Table 4 - Accent 1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40">
    <w:name w:val="Grid Table 4 - Accent 2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41">
    <w:name w:val="Grid Table 4 - Accent 3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42">
    <w:name w:val="Grid Table 4 - Accent 4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43">
    <w:name w:val="Grid Table 4 - Accent 5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44">
    <w:name w:val="Grid Table 4 - Accent 6"/>
    <w:basedOn w:val="11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45">
    <w:name w:val="Grid Table 5 Dark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046">
    <w:name w:val="Grid Table 5 Dark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047">
    <w:name w:val="Grid Table 5 Dark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048">
    <w:name w:val="Grid Table 5 Dark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049">
    <w:name w:val="Grid Table 5 Dark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050">
    <w:name w:val="Grid Table 5 Dark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051">
    <w:name w:val="Grid Table 5 Dark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052">
    <w:name w:val="Grid Table 6 Colorful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53">
    <w:name w:val="Grid Table 6 Colorful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54">
    <w:name w:val="Grid Table 6 Colorful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55">
    <w:name w:val="Grid Table 6 Colorful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56">
    <w:name w:val="Grid Table 6 Colorful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57">
    <w:name w:val="Grid Table 6 Colorful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58">
    <w:name w:val="Grid Table 6 Colorful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59">
    <w:name w:val="Grid Table 7 Colorful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7 Colorful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7 Colorful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7 Colorful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7 Colorful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7 Colorful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65">
    <w:name w:val="Grid Table 7 Colorful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66">
    <w:name w:val="List Table 1 Light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67">
    <w:name w:val="List Table 1 Light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68">
    <w:name w:val="List Table 1 Light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69">
    <w:name w:val="List Table 1 Light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70">
    <w:name w:val="List Table 1 Light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1">
    <w:name w:val="List Table 1 Light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72">
    <w:name w:val="List Table 1 Light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3">
    <w:name w:val="List Table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74">
    <w:name w:val="List Table 2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75">
    <w:name w:val="List Table 2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076">
    <w:name w:val="List Table 2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077">
    <w:name w:val="List Table 2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078">
    <w:name w:val="List Table 2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079">
    <w:name w:val="List Table 2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080">
    <w:name w:val="List Table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1">
    <w:name w:val="List Table 3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2">
    <w:name w:val="List Table 3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3">
    <w:name w:val="List Table 3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4">
    <w:name w:val="List Table 3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5">
    <w:name w:val="List Table 3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6">
    <w:name w:val="List Table 3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7">
    <w:name w:val="List Table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8">
    <w:name w:val="List Table 4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9">
    <w:name w:val="List Table 4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0">
    <w:name w:val="List Table 4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1">
    <w:name w:val="List Table 4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2">
    <w:name w:val="List Table 4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3">
    <w:name w:val="List Table 4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4">
    <w:name w:val="List Table 5 Dark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5">
    <w:name w:val="List Table 5 Dark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6">
    <w:name w:val="List Table 5 Dark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7">
    <w:name w:val="List Table 5 Dark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8">
    <w:name w:val="List Table 5 Dark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9">
    <w:name w:val="List Table 5 Dark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00">
    <w:name w:val="List Table 5 Dark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01">
    <w:name w:val="List Table 6 Colorful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02">
    <w:name w:val="List Table 6 Colorful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03">
    <w:name w:val="List Table 6 Colorful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04">
    <w:name w:val="List Table 6 Colorful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05">
    <w:name w:val="List Table 6 Colorful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06">
    <w:name w:val="List Table 6 Colorful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07">
    <w:name w:val="List Table 6 Colorful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08">
    <w:name w:val="List Table 7 Colorful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09">
    <w:name w:val="List Table 7 Colorful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10">
    <w:name w:val="List Table 7 Colorful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11">
    <w:name w:val="List Table 7 Colorful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12">
    <w:name w:val="List Table 7 Colorful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13">
    <w:name w:val="List Table 7 Colorful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14">
    <w:name w:val="List Table 7 Colorful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15">
    <w:name w:val="Lined - Accent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16">
    <w:name w:val="Lined - Accent 1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17">
    <w:name w:val="Lined - Accent 2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18">
    <w:name w:val="Lined - Accent 3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19">
    <w:name w:val="Lined - Accent 4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20">
    <w:name w:val="Lined - Accent 5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21">
    <w:name w:val="Lined - Accent 6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22">
    <w:name w:val="Bordered &amp; Lined - Accent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23">
    <w:name w:val="Bordered &amp; Lined - Accent 1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24">
    <w:name w:val="Bordered &amp; Lined - Accent 2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25">
    <w:name w:val="Bordered &amp; Lined - Accent 3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26">
    <w:name w:val="Bordered &amp; Lined - Accent 4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27">
    <w:name w:val="Bordered &amp; Lined - Accent 5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28">
    <w:name w:val="Bordered &amp; Lined - Accent 6"/>
    <w:basedOn w:val="11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29">
    <w:name w:val="Bordered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30">
    <w:name w:val="Bordered - Accent 1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31">
    <w:name w:val="Bordered - Accent 2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32">
    <w:name w:val="Bordered - Accent 3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33">
    <w:name w:val="Bordered - Accent 4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34">
    <w:name w:val="Bordered - Accent 5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35">
    <w:name w:val="Bordered - Accent 6"/>
    <w:basedOn w:val="11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136">
    <w:name w:val="Hyperlink"/>
    <w:uiPriority w:val="99"/>
    <w:unhideWhenUsed/>
    <w:rPr>
      <w:color w:val="0000FF" w:themeColor="hyperlink"/>
      <w:u w:val="single"/>
    </w:rPr>
  </w:style>
  <w:style w:type="paragraph" w:styleId="1137">
    <w:name w:val="footnote text"/>
    <w:basedOn w:val="1154"/>
    <w:link w:val="1138"/>
    <w:uiPriority w:val="99"/>
    <w:semiHidden/>
    <w:unhideWhenUsed/>
    <w:rPr>
      <w:sz w:val="18"/>
    </w:rPr>
    <w:pPr>
      <w:spacing w:lineRule="auto" w:line="240" w:after="40"/>
    </w:pPr>
  </w:style>
  <w:style w:type="character" w:styleId="1138">
    <w:name w:val="Footnote Text Char"/>
    <w:link w:val="1137"/>
    <w:uiPriority w:val="99"/>
    <w:rPr>
      <w:sz w:val="18"/>
    </w:rPr>
  </w:style>
  <w:style w:type="character" w:styleId="1139">
    <w:name w:val="footnote reference"/>
    <w:uiPriority w:val="99"/>
    <w:unhideWhenUsed/>
    <w:rPr>
      <w:vertAlign w:val="superscript"/>
    </w:rPr>
  </w:style>
  <w:style w:type="paragraph" w:styleId="1140">
    <w:name w:val="endnote text"/>
    <w:basedOn w:val="1154"/>
    <w:link w:val="1141"/>
    <w:uiPriority w:val="99"/>
    <w:semiHidden/>
    <w:unhideWhenUsed/>
    <w:rPr>
      <w:sz w:val="20"/>
    </w:rPr>
    <w:pPr>
      <w:spacing w:lineRule="auto" w:line="240" w:after="0"/>
    </w:pPr>
  </w:style>
  <w:style w:type="character" w:styleId="1141">
    <w:name w:val="Endnote Text Char"/>
    <w:link w:val="1140"/>
    <w:uiPriority w:val="99"/>
    <w:rPr>
      <w:sz w:val="20"/>
    </w:rPr>
  </w:style>
  <w:style w:type="character" w:styleId="1142">
    <w:name w:val="endnote reference"/>
    <w:uiPriority w:val="99"/>
    <w:semiHidden/>
    <w:unhideWhenUsed/>
    <w:rPr>
      <w:vertAlign w:val="superscript"/>
    </w:rPr>
  </w:style>
  <w:style w:type="paragraph" w:styleId="1143">
    <w:name w:val="toc 1"/>
    <w:basedOn w:val="1154"/>
    <w:next w:val="1154"/>
    <w:uiPriority w:val="39"/>
    <w:unhideWhenUsed/>
    <w:pPr>
      <w:ind w:left="0" w:right="0" w:firstLine="0"/>
      <w:spacing w:after="57"/>
    </w:pPr>
  </w:style>
  <w:style w:type="paragraph" w:styleId="1144">
    <w:name w:val="toc 2"/>
    <w:basedOn w:val="1154"/>
    <w:next w:val="1154"/>
    <w:uiPriority w:val="39"/>
    <w:unhideWhenUsed/>
    <w:pPr>
      <w:ind w:left="283" w:right="0" w:firstLine="0"/>
      <w:spacing w:after="57"/>
    </w:pPr>
  </w:style>
  <w:style w:type="paragraph" w:styleId="1145">
    <w:name w:val="toc 3"/>
    <w:basedOn w:val="1154"/>
    <w:next w:val="1154"/>
    <w:uiPriority w:val="39"/>
    <w:unhideWhenUsed/>
    <w:pPr>
      <w:ind w:left="567" w:right="0" w:firstLine="0"/>
      <w:spacing w:after="57"/>
    </w:pPr>
  </w:style>
  <w:style w:type="paragraph" w:styleId="1146">
    <w:name w:val="toc 4"/>
    <w:basedOn w:val="1154"/>
    <w:next w:val="1154"/>
    <w:uiPriority w:val="39"/>
    <w:unhideWhenUsed/>
    <w:pPr>
      <w:ind w:left="850" w:right="0" w:firstLine="0"/>
      <w:spacing w:after="57"/>
    </w:pPr>
  </w:style>
  <w:style w:type="paragraph" w:styleId="1147">
    <w:name w:val="toc 5"/>
    <w:basedOn w:val="1154"/>
    <w:next w:val="1154"/>
    <w:uiPriority w:val="39"/>
    <w:unhideWhenUsed/>
    <w:pPr>
      <w:ind w:left="1134" w:right="0" w:firstLine="0"/>
      <w:spacing w:after="57"/>
    </w:pPr>
  </w:style>
  <w:style w:type="paragraph" w:styleId="1148">
    <w:name w:val="toc 6"/>
    <w:basedOn w:val="1154"/>
    <w:next w:val="1154"/>
    <w:uiPriority w:val="39"/>
    <w:unhideWhenUsed/>
    <w:pPr>
      <w:ind w:left="1417" w:right="0" w:firstLine="0"/>
      <w:spacing w:after="57"/>
    </w:pPr>
  </w:style>
  <w:style w:type="paragraph" w:styleId="1149">
    <w:name w:val="toc 7"/>
    <w:basedOn w:val="1154"/>
    <w:next w:val="1154"/>
    <w:uiPriority w:val="39"/>
    <w:unhideWhenUsed/>
    <w:pPr>
      <w:ind w:left="1701" w:right="0" w:firstLine="0"/>
      <w:spacing w:after="57"/>
    </w:pPr>
  </w:style>
  <w:style w:type="paragraph" w:styleId="1150">
    <w:name w:val="toc 8"/>
    <w:basedOn w:val="1154"/>
    <w:next w:val="1154"/>
    <w:uiPriority w:val="39"/>
    <w:unhideWhenUsed/>
    <w:pPr>
      <w:ind w:left="1984" w:right="0" w:firstLine="0"/>
      <w:spacing w:after="57"/>
    </w:pPr>
  </w:style>
  <w:style w:type="paragraph" w:styleId="1151">
    <w:name w:val="toc 9"/>
    <w:basedOn w:val="1154"/>
    <w:next w:val="1154"/>
    <w:uiPriority w:val="39"/>
    <w:unhideWhenUsed/>
    <w:pPr>
      <w:ind w:left="2268" w:right="0" w:firstLine="0"/>
      <w:spacing w:after="57"/>
    </w:pPr>
  </w:style>
  <w:style w:type="paragraph" w:styleId="1152">
    <w:name w:val="TOC Heading"/>
    <w:uiPriority w:val="39"/>
    <w:unhideWhenUsed/>
  </w:style>
  <w:style w:type="paragraph" w:styleId="1153">
    <w:name w:val="table of figures"/>
    <w:basedOn w:val="1154"/>
    <w:next w:val="1154"/>
    <w:uiPriority w:val="99"/>
    <w:unhideWhenUsed/>
    <w:pPr>
      <w:spacing w:after="0" w:afterAutospacing="0"/>
    </w:pPr>
  </w:style>
  <w:style w:type="paragraph" w:styleId="1154" w:default="1">
    <w:name w:val="Normal"/>
    <w:qFormat/>
  </w:style>
  <w:style w:type="table" w:styleId="11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56" w:default="1">
    <w:name w:val="No List"/>
    <w:uiPriority w:val="99"/>
    <w:semiHidden/>
    <w:unhideWhenUsed/>
  </w:style>
  <w:style w:type="paragraph" w:styleId="1157">
    <w:name w:val="No Spacing"/>
    <w:basedOn w:val="1154"/>
    <w:qFormat/>
    <w:uiPriority w:val="1"/>
    <w:pPr>
      <w:spacing w:lineRule="auto" w:line="240" w:after="0"/>
    </w:pPr>
  </w:style>
  <w:style w:type="paragraph" w:styleId="1158">
    <w:name w:val="List Paragraph"/>
    <w:basedOn w:val="1154"/>
    <w:qFormat/>
    <w:uiPriority w:val="34"/>
    <w:pPr>
      <w:contextualSpacing w:val="true"/>
      <w:ind w:left="720"/>
    </w:pPr>
  </w:style>
  <w:style w:type="character" w:styleId="115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2021-12-10T13:36:12Z</dcterms:modified>
</cp:coreProperties>
</file>