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290" w:rsidRPr="000233BE" w:rsidRDefault="00712290" w:rsidP="00A9514A">
      <w:pPr>
        <w:spacing w:line="276" w:lineRule="auto"/>
        <w:rPr>
          <w:rFonts w:cstheme="minorHAnsi"/>
          <w:b/>
          <w:sz w:val="40"/>
          <w:szCs w:val="40"/>
        </w:rPr>
      </w:pPr>
      <w:r w:rsidRPr="000233BE">
        <w:rPr>
          <w:rFonts w:cstheme="minorHAnsi"/>
          <w:b/>
          <w:sz w:val="40"/>
          <w:szCs w:val="40"/>
        </w:rPr>
        <w:t xml:space="preserve">                         </w:t>
      </w:r>
      <w:r>
        <w:rPr>
          <w:rFonts w:cstheme="minorHAnsi"/>
          <w:b/>
          <w:sz w:val="40"/>
          <w:szCs w:val="40"/>
        </w:rPr>
        <w:t xml:space="preserve">   DCF Valuation </w:t>
      </w:r>
      <w:r w:rsidRPr="000233BE">
        <w:rPr>
          <w:rFonts w:cstheme="minorHAnsi"/>
          <w:b/>
          <w:sz w:val="40"/>
          <w:szCs w:val="40"/>
        </w:rPr>
        <w:t>of</w:t>
      </w:r>
      <w:r>
        <w:rPr>
          <w:rFonts w:cstheme="minorHAnsi"/>
          <w:b/>
          <w:sz w:val="40"/>
          <w:szCs w:val="40"/>
        </w:rPr>
        <w:t xml:space="preserve"> </w:t>
      </w:r>
      <w:r w:rsidRPr="00712290">
        <w:rPr>
          <w:rFonts w:cstheme="minorHAnsi"/>
          <w:b/>
          <w:sz w:val="40"/>
          <w:szCs w:val="40"/>
        </w:rPr>
        <w:t>Zenith Bank PLC (ZENITHBA: NL) </w:t>
      </w:r>
    </w:p>
    <w:p w:rsidR="00712290" w:rsidRPr="000233BE" w:rsidRDefault="00712290" w:rsidP="00A9514A">
      <w:pPr>
        <w:spacing w:line="276" w:lineRule="auto"/>
        <w:rPr>
          <w:rFonts w:cstheme="minorHAnsi"/>
          <w:b/>
          <w:sz w:val="40"/>
          <w:szCs w:val="40"/>
        </w:rPr>
      </w:pPr>
      <w:r w:rsidRPr="000233BE">
        <w:rPr>
          <w:rFonts w:cstheme="minorHAnsi"/>
          <w:b/>
          <w:sz w:val="40"/>
          <w:szCs w:val="40"/>
        </w:rPr>
        <w:t xml:space="preserve">                      </w:t>
      </w:r>
      <w:r>
        <w:rPr>
          <w:rFonts w:cstheme="minorHAnsi"/>
          <w:b/>
          <w:sz w:val="40"/>
          <w:szCs w:val="40"/>
        </w:rPr>
        <w:t xml:space="preserve">                                    </w:t>
      </w:r>
      <w:r w:rsidRPr="000233BE">
        <w:rPr>
          <w:rFonts w:cstheme="minorHAnsi"/>
          <w:b/>
          <w:sz w:val="40"/>
          <w:szCs w:val="40"/>
        </w:rPr>
        <w:t xml:space="preserve"> By </w:t>
      </w:r>
    </w:p>
    <w:p w:rsidR="00712290" w:rsidRDefault="00712290" w:rsidP="00A9514A">
      <w:pPr>
        <w:spacing w:line="276" w:lineRule="auto"/>
        <w:rPr>
          <w:rFonts w:cstheme="minorHAnsi"/>
          <w:b/>
          <w:sz w:val="40"/>
          <w:szCs w:val="40"/>
        </w:rPr>
      </w:pPr>
      <w:r w:rsidRPr="000233BE">
        <w:rPr>
          <w:rFonts w:cstheme="minorHAnsi"/>
          <w:b/>
          <w:sz w:val="40"/>
          <w:szCs w:val="40"/>
        </w:rPr>
        <w:t xml:space="preserve">                                        </w:t>
      </w:r>
      <w:r>
        <w:rPr>
          <w:rFonts w:cstheme="minorHAnsi"/>
          <w:b/>
          <w:sz w:val="40"/>
          <w:szCs w:val="40"/>
        </w:rPr>
        <w:t xml:space="preserve">  </w:t>
      </w:r>
      <w:r w:rsidR="00F11A73">
        <w:rPr>
          <w:rFonts w:cstheme="minorHAnsi"/>
          <w:b/>
          <w:sz w:val="40"/>
          <w:szCs w:val="40"/>
        </w:rPr>
        <w:t xml:space="preserve">  </w:t>
      </w:r>
      <w:r>
        <w:rPr>
          <w:rFonts w:cstheme="minorHAnsi"/>
          <w:b/>
          <w:sz w:val="40"/>
          <w:szCs w:val="40"/>
        </w:rPr>
        <w:t xml:space="preserve"> Emmanuel Ifeanyi Ezeji.</w:t>
      </w:r>
    </w:p>
    <w:p w:rsidR="00712290" w:rsidRDefault="00712290" w:rsidP="00A9514A">
      <w:pPr>
        <w:spacing w:line="276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    (Financial modeling and Valuation Analyst)</w:t>
      </w:r>
    </w:p>
    <w:p w:rsidR="00712290" w:rsidRDefault="00712290" w:rsidP="00A9514A">
      <w:pPr>
        <w:spacing w:line="276" w:lineRule="auto"/>
        <w:rPr>
          <w:rFonts w:cstheme="minorHAnsi"/>
          <w:b/>
          <w:sz w:val="40"/>
          <w:szCs w:val="40"/>
        </w:rPr>
      </w:pPr>
    </w:p>
    <w:p w:rsidR="00712290" w:rsidRPr="0085274A" w:rsidRDefault="00712290" w:rsidP="00A9514A">
      <w:pPr>
        <w:spacing w:line="276" w:lineRule="auto"/>
        <w:rPr>
          <w:rFonts w:cstheme="minorHAnsi"/>
          <w:b/>
          <w:sz w:val="26"/>
          <w:szCs w:val="26"/>
        </w:rPr>
      </w:pPr>
    </w:p>
    <w:p w:rsidR="00712290" w:rsidRPr="0085274A" w:rsidRDefault="001A483B" w:rsidP="00A9514A">
      <w:pPr>
        <w:spacing w:line="276" w:lineRule="auto"/>
        <w:rPr>
          <w:rFonts w:cstheme="minorHAnsi"/>
          <w:b/>
          <w:sz w:val="26"/>
          <w:szCs w:val="26"/>
        </w:rPr>
      </w:pPr>
      <w:r w:rsidRPr="0085274A">
        <w:rPr>
          <w:rFonts w:cstheme="minorHAnsi"/>
          <w:b/>
          <w:sz w:val="26"/>
          <w:szCs w:val="26"/>
        </w:rPr>
        <w:t>Executive S</w:t>
      </w:r>
      <w:r w:rsidR="00712290" w:rsidRPr="0085274A">
        <w:rPr>
          <w:rFonts w:cstheme="minorHAnsi"/>
          <w:b/>
          <w:sz w:val="26"/>
          <w:szCs w:val="26"/>
        </w:rPr>
        <w:t xml:space="preserve">ummary: </w:t>
      </w:r>
    </w:p>
    <w:p w:rsidR="00712290" w:rsidRPr="0085274A" w:rsidRDefault="00A9514A" w:rsidP="00A9514A">
      <w:pPr>
        <w:tabs>
          <w:tab w:val="left" w:pos="2160"/>
        </w:tabs>
        <w:spacing w:line="276" w:lineRule="auto"/>
        <w:rPr>
          <w:rFonts w:cstheme="minorHAnsi"/>
          <w:b/>
          <w:bCs/>
          <w:color w:val="171717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From the DCF </w:t>
      </w:r>
      <w:r w:rsidR="00EC7347" w:rsidRPr="00722386">
        <w:rPr>
          <w:rFonts w:cstheme="minorHAnsi"/>
          <w:sz w:val="26"/>
          <w:szCs w:val="26"/>
        </w:rPr>
        <w:t xml:space="preserve">valuation of </w:t>
      </w:r>
      <w:r w:rsidR="00EC7347">
        <w:rPr>
          <w:rFonts w:cstheme="minorHAnsi"/>
          <w:bCs/>
          <w:color w:val="171717"/>
          <w:sz w:val="26"/>
          <w:szCs w:val="26"/>
        </w:rPr>
        <w:t xml:space="preserve">Zenith bank PLC </w:t>
      </w:r>
      <w:r w:rsidR="00EC7347" w:rsidRPr="00722386">
        <w:rPr>
          <w:rFonts w:cstheme="minorHAnsi"/>
          <w:sz w:val="26"/>
          <w:szCs w:val="26"/>
        </w:rPr>
        <w:t>historical financial data</w:t>
      </w:r>
      <w:r w:rsidR="00F11A73">
        <w:rPr>
          <w:rFonts w:cstheme="minorHAnsi"/>
          <w:sz w:val="26"/>
          <w:szCs w:val="26"/>
        </w:rPr>
        <w:t xml:space="preserve"> and</w:t>
      </w:r>
      <w:r w:rsidR="00333D08">
        <w:rPr>
          <w:rFonts w:cstheme="minorHAnsi"/>
          <w:sz w:val="26"/>
          <w:szCs w:val="26"/>
        </w:rPr>
        <w:t xml:space="preserve"> a</w:t>
      </w:r>
      <w:r w:rsidR="00F11A73">
        <w:rPr>
          <w:rFonts w:cstheme="minorHAnsi"/>
          <w:sz w:val="26"/>
          <w:szCs w:val="26"/>
        </w:rPr>
        <w:t xml:space="preserve"> terminal growth rate of 3%</w:t>
      </w:r>
      <w:r w:rsidR="00EC7347">
        <w:rPr>
          <w:rFonts w:cstheme="minorHAnsi"/>
          <w:sz w:val="26"/>
          <w:szCs w:val="26"/>
        </w:rPr>
        <w:t xml:space="preserve">, Zenith bank PLC </w:t>
      </w:r>
      <w:r w:rsidR="00EC7347">
        <w:rPr>
          <w:rFonts w:cstheme="minorHAnsi"/>
          <w:bCs/>
          <w:color w:val="171717"/>
          <w:sz w:val="26"/>
          <w:szCs w:val="26"/>
        </w:rPr>
        <w:t>equity per share is N</w:t>
      </w:r>
      <w:r w:rsidR="00690866">
        <w:rPr>
          <w:rFonts w:cstheme="minorHAnsi"/>
          <w:bCs/>
          <w:color w:val="171717"/>
          <w:sz w:val="26"/>
          <w:szCs w:val="26"/>
        </w:rPr>
        <w:t>GN</w:t>
      </w:r>
      <w:r w:rsidR="00EC7347">
        <w:rPr>
          <w:rFonts w:cstheme="minorHAnsi"/>
          <w:bCs/>
          <w:color w:val="171717"/>
          <w:sz w:val="26"/>
          <w:szCs w:val="26"/>
        </w:rPr>
        <w:t>2462.6 which is higher than year</w:t>
      </w:r>
      <w:r w:rsidR="00EC7347" w:rsidRPr="00722386">
        <w:rPr>
          <w:rFonts w:cstheme="minorHAnsi"/>
          <w:bCs/>
          <w:color w:val="171717"/>
          <w:sz w:val="26"/>
          <w:szCs w:val="26"/>
        </w:rPr>
        <w:t xml:space="preserve"> 20</w:t>
      </w:r>
      <w:r w:rsidR="00EC7347">
        <w:rPr>
          <w:rFonts w:cstheme="minorHAnsi"/>
          <w:bCs/>
          <w:color w:val="171717"/>
          <w:sz w:val="26"/>
          <w:szCs w:val="26"/>
        </w:rPr>
        <w:t>2</w:t>
      </w:r>
      <w:r w:rsidR="00EC7347" w:rsidRPr="00722386">
        <w:rPr>
          <w:rFonts w:cstheme="minorHAnsi"/>
          <w:bCs/>
          <w:color w:val="171717"/>
          <w:sz w:val="26"/>
          <w:szCs w:val="26"/>
        </w:rPr>
        <w:t>3 market pri</w:t>
      </w:r>
      <w:r w:rsidR="00EC7347">
        <w:rPr>
          <w:rFonts w:cstheme="minorHAnsi"/>
          <w:bCs/>
          <w:color w:val="171717"/>
          <w:sz w:val="26"/>
          <w:szCs w:val="26"/>
        </w:rPr>
        <w:t>ce of N</w:t>
      </w:r>
      <w:r w:rsidR="00690866">
        <w:rPr>
          <w:rFonts w:cstheme="minorHAnsi"/>
          <w:bCs/>
          <w:color w:val="171717"/>
          <w:sz w:val="26"/>
          <w:szCs w:val="26"/>
        </w:rPr>
        <w:t>GN</w:t>
      </w:r>
      <w:r w:rsidR="00EC7347">
        <w:rPr>
          <w:rFonts w:cstheme="minorHAnsi"/>
          <w:bCs/>
          <w:color w:val="171717"/>
          <w:sz w:val="26"/>
          <w:szCs w:val="26"/>
        </w:rPr>
        <w:t xml:space="preserve">35.1. The margin of safety is 98.57%. Hence, Zenith Bank PLC </w:t>
      </w:r>
      <w:r w:rsidR="00EC7347" w:rsidRPr="00722386">
        <w:rPr>
          <w:rFonts w:cstheme="minorHAnsi"/>
          <w:bCs/>
          <w:color w:val="171717"/>
          <w:sz w:val="26"/>
          <w:szCs w:val="26"/>
        </w:rPr>
        <w:t xml:space="preserve">stock </w:t>
      </w:r>
      <w:r w:rsidR="00EC7347" w:rsidRPr="00722386">
        <w:rPr>
          <w:rFonts w:cstheme="minorHAnsi"/>
          <w:sz w:val="26"/>
          <w:szCs w:val="26"/>
        </w:rPr>
        <w:t>is</w:t>
      </w:r>
      <w:r w:rsidR="00EC7347">
        <w:rPr>
          <w:rFonts w:cstheme="minorHAnsi"/>
          <w:sz w:val="26"/>
          <w:szCs w:val="26"/>
        </w:rPr>
        <w:t xml:space="preserve"> undervalued</w:t>
      </w:r>
      <w:r w:rsidR="00EC7347" w:rsidRPr="00722386">
        <w:rPr>
          <w:rFonts w:cstheme="minorHAnsi"/>
          <w:sz w:val="26"/>
          <w:szCs w:val="26"/>
        </w:rPr>
        <w:t>.</w:t>
      </w:r>
      <w:r w:rsidR="00362EF8" w:rsidRPr="0085274A">
        <w:rPr>
          <w:rFonts w:cstheme="minorHAnsi"/>
          <w:b/>
          <w:bCs/>
          <w:color w:val="171717"/>
          <w:sz w:val="26"/>
          <w:szCs w:val="26"/>
        </w:rPr>
        <w:tab/>
      </w:r>
    </w:p>
    <w:p w:rsidR="00712290" w:rsidRPr="0085274A" w:rsidRDefault="001A483B" w:rsidP="00A9514A">
      <w:pPr>
        <w:spacing w:line="276" w:lineRule="auto"/>
        <w:rPr>
          <w:rFonts w:cstheme="minorHAnsi"/>
          <w:b/>
          <w:bCs/>
          <w:color w:val="171717"/>
          <w:sz w:val="26"/>
          <w:szCs w:val="26"/>
        </w:rPr>
      </w:pPr>
      <w:r w:rsidRPr="0085274A">
        <w:rPr>
          <w:rFonts w:cstheme="minorHAnsi"/>
          <w:b/>
          <w:bCs/>
          <w:color w:val="171717"/>
          <w:sz w:val="26"/>
          <w:szCs w:val="26"/>
        </w:rPr>
        <w:t xml:space="preserve">Brief Profile </w:t>
      </w:r>
      <w:r w:rsidR="00EC7347" w:rsidRPr="0085274A">
        <w:rPr>
          <w:rFonts w:cstheme="minorHAnsi"/>
          <w:b/>
          <w:bCs/>
          <w:color w:val="171717"/>
          <w:sz w:val="26"/>
          <w:szCs w:val="26"/>
        </w:rPr>
        <w:t>of</w:t>
      </w:r>
      <w:r w:rsidR="00712290" w:rsidRPr="0085274A">
        <w:rPr>
          <w:rFonts w:cstheme="minorHAnsi"/>
          <w:b/>
          <w:bCs/>
          <w:color w:val="171717"/>
          <w:sz w:val="26"/>
          <w:szCs w:val="26"/>
        </w:rPr>
        <w:t xml:space="preserve"> </w:t>
      </w:r>
      <w:r w:rsidR="00712290" w:rsidRPr="0085274A">
        <w:rPr>
          <w:rFonts w:cstheme="minorHAnsi"/>
          <w:b/>
          <w:sz w:val="26"/>
          <w:szCs w:val="26"/>
        </w:rPr>
        <w:t>Zenith Bank PLC</w:t>
      </w:r>
      <w:r w:rsidR="00712290" w:rsidRPr="0085274A">
        <w:rPr>
          <w:rFonts w:cstheme="minorHAnsi"/>
          <w:b/>
          <w:bCs/>
          <w:color w:val="171717"/>
          <w:sz w:val="26"/>
          <w:szCs w:val="26"/>
        </w:rPr>
        <w:t>:</w:t>
      </w:r>
    </w:p>
    <w:p w:rsidR="00EE1D45" w:rsidRPr="0085274A" w:rsidRDefault="00EE1D45" w:rsidP="00A9514A">
      <w:pPr>
        <w:pStyle w:val="NormalWeb"/>
        <w:shd w:val="clear" w:color="auto" w:fill="FFFFFF"/>
        <w:spacing w:before="120" w:beforeAutospacing="0" w:after="24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85274A">
        <w:rPr>
          <w:rFonts w:asciiTheme="minorHAnsi" w:hAnsiTheme="minorHAnsi" w:cstheme="minorHAnsi"/>
          <w:bCs/>
          <w:sz w:val="26"/>
          <w:szCs w:val="26"/>
        </w:rPr>
        <w:t>Zenith Bank Plc</w:t>
      </w:r>
      <w:r w:rsidRPr="0085274A">
        <w:rPr>
          <w:rFonts w:asciiTheme="minorHAnsi" w:hAnsiTheme="minorHAnsi" w:cstheme="minorHAnsi"/>
          <w:sz w:val="26"/>
          <w:szCs w:val="26"/>
        </w:rPr>
        <w:t> is a major financial services provider in </w:t>
      </w:r>
      <w:hyperlink r:id="rId5" w:tooltip="Nigeria" w:history="1">
        <w:r w:rsidRPr="0085274A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Nigeria</w:t>
        </w:r>
      </w:hyperlink>
      <w:r w:rsidRPr="0085274A">
        <w:rPr>
          <w:rFonts w:asciiTheme="minorHAnsi" w:hAnsiTheme="minorHAnsi" w:cstheme="minorHAnsi"/>
          <w:sz w:val="26"/>
          <w:szCs w:val="26"/>
        </w:rPr>
        <w:t> and Anglophone West Africa, headquartered in </w:t>
      </w:r>
      <w:hyperlink r:id="rId6" w:tooltip="Victoria Island, Lagos" w:history="1">
        <w:r w:rsidRPr="0085274A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Victoria Island</w:t>
        </w:r>
      </w:hyperlink>
      <w:r w:rsidRPr="0085274A">
        <w:rPr>
          <w:rFonts w:asciiTheme="minorHAnsi" w:hAnsiTheme="minorHAnsi" w:cstheme="minorHAnsi"/>
          <w:sz w:val="26"/>
          <w:szCs w:val="26"/>
        </w:rPr>
        <w:t>, </w:t>
      </w:r>
      <w:hyperlink r:id="rId7" w:tooltip="Lagos State" w:history="1">
        <w:r w:rsidRPr="0085274A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Lagos</w:t>
        </w:r>
      </w:hyperlink>
      <w:r w:rsidRPr="0085274A">
        <w:rPr>
          <w:rFonts w:asciiTheme="minorHAnsi" w:hAnsiTheme="minorHAnsi" w:cstheme="minorHAnsi"/>
          <w:sz w:val="26"/>
          <w:szCs w:val="26"/>
        </w:rPr>
        <w:t>. It is licensed as a </w:t>
      </w:r>
      <w:hyperlink r:id="rId8" w:tooltip="Commercial bank" w:history="1">
        <w:r w:rsidRPr="0085274A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commercial bank</w:t>
        </w:r>
      </w:hyperlink>
      <w:r w:rsidRPr="0085274A">
        <w:rPr>
          <w:rFonts w:asciiTheme="minorHAnsi" w:hAnsiTheme="minorHAnsi" w:cstheme="minorHAnsi"/>
          <w:sz w:val="26"/>
          <w:szCs w:val="26"/>
        </w:rPr>
        <w:t> by the </w:t>
      </w:r>
      <w:hyperlink r:id="rId9" w:tooltip="Central Bank of Nigeria" w:history="1">
        <w:r w:rsidRPr="0085274A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Central Bank of Nigeria</w:t>
        </w:r>
      </w:hyperlink>
      <w:r w:rsidRPr="0085274A">
        <w:rPr>
          <w:rFonts w:asciiTheme="minorHAnsi" w:hAnsiTheme="minorHAnsi" w:cstheme="minorHAnsi"/>
          <w:sz w:val="26"/>
          <w:szCs w:val="26"/>
        </w:rPr>
        <w:t xml:space="preserve">, the national banking regulator. </w:t>
      </w:r>
    </w:p>
    <w:p w:rsidR="00EE1D45" w:rsidRPr="0085274A" w:rsidRDefault="00EE1D45" w:rsidP="00A9514A">
      <w:pPr>
        <w:pStyle w:val="NormalWeb"/>
        <w:shd w:val="clear" w:color="auto" w:fill="FFFFFF"/>
        <w:spacing w:before="120" w:beforeAutospacing="0" w:after="240" w:afterAutospacing="0" w:line="276" w:lineRule="auto"/>
        <w:rPr>
          <w:rFonts w:asciiTheme="minorHAnsi" w:hAnsiTheme="minorHAnsi" w:cstheme="minorHAnsi"/>
          <w:sz w:val="26"/>
          <w:szCs w:val="26"/>
        </w:rPr>
      </w:pPr>
      <w:r w:rsidRPr="0085274A">
        <w:rPr>
          <w:rFonts w:asciiTheme="minorHAnsi" w:hAnsiTheme="minorHAnsi" w:cstheme="minorHAnsi"/>
          <w:sz w:val="26"/>
          <w:szCs w:val="26"/>
        </w:rPr>
        <w:t>As of Dec., 2023, it holds more than $15.5bn in total assets, w</w:t>
      </w:r>
      <w:r w:rsidR="00362EF8" w:rsidRPr="0085274A">
        <w:rPr>
          <w:rFonts w:asciiTheme="minorHAnsi" w:hAnsiTheme="minorHAnsi" w:cstheme="minorHAnsi"/>
          <w:sz w:val="26"/>
          <w:szCs w:val="26"/>
        </w:rPr>
        <w:t>ith shareholders' equity of $1.4bn</w:t>
      </w:r>
      <w:r w:rsidRPr="0085274A">
        <w:rPr>
          <w:rFonts w:asciiTheme="minorHAnsi" w:hAnsiTheme="minorHAnsi" w:cstheme="minorHAnsi"/>
          <w:sz w:val="26"/>
          <w:szCs w:val="26"/>
        </w:rPr>
        <w:t>.</w:t>
      </w:r>
      <w:r w:rsidR="00362EF8" w:rsidRPr="0085274A">
        <w:rPr>
          <w:rFonts w:asciiTheme="minorHAnsi" w:hAnsiTheme="minorHAnsi" w:cstheme="minorHAnsi"/>
          <w:sz w:val="26"/>
          <w:szCs w:val="26"/>
        </w:rPr>
        <w:t xml:space="preserve"> </w:t>
      </w:r>
      <w:r w:rsidRPr="0085274A">
        <w:rPr>
          <w:rFonts w:asciiTheme="minorHAnsi" w:hAnsiTheme="minorHAnsi" w:cstheme="minorHAnsi"/>
          <w:sz w:val="26"/>
          <w:szCs w:val="26"/>
        </w:rPr>
        <w:t>The company is listed on the </w:t>
      </w:r>
      <w:hyperlink r:id="rId10" w:tooltip="Nigeria Stock Exchange" w:history="1">
        <w:r w:rsidRPr="0085274A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Nigeria Stock Exchange</w:t>
        </w:r>
      </w:hyperlink>
      <w:r w:rsidRPr="0085274A">
        <w:rPr>
          <w:rFonts w:asciiTheme="minorHAnsi" w:hAnsiTheme="minorHAnsi" w:cstheme="minorHAnsi"/>
          <w:sz w:val="26"/>
          <w:szCs w:val="26"/>
        </w:rPr>
        <w:t> and the </w:t>
      </w:r>
      <w:hyperlink r:id="rId11" w:tooltip="London Stock Exchange" w:history="1">
        <w:r w:rsidRPr="0085274A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London Stock Exchange</w:t>
        </w:r>
      </w:hyperlink>
      <w:r w:rsidRPr="0085274A">
        <w:rPr>
          <w:rFonts w:asciiTheme="minorHAnsi" w:hAnsiTheme="minorHAnsi" w:cstheme="minorHAnsi"/>
          <w:sz w:val="26"/>
          <w:szCs w:val="26"/>
        </w:rPr>
        <w:t>.</w:t>
      </w:r>
    </w:p>
    <w:p w:rsidR="00EE1D45" w:rsidRPr="0085274A" w:rsidRDefault="00EE1D45" w:rsidP="00A9514A">
      <w:pPr>
        <w:spacing w:line="276" w:lineRule="auto"/>
        <w:rPr>
          <w:rFonts w:cstheme="minorHAnsi"/>
          <w:b/>
          <w:bCs/>
          <w:color w:val="171717"/>
          <w:sz w:val="26"/>
          <w:szCs w:val="26"/>
        </w:rPr>
      </w:pPr>
    </w:p>
    <w:p w:rsidR="00712290" w:rsidRPr="0085274A" w:rsidRDefault="00712290" w:rsidP="00A9514A">
      <w:pPr>
        <w:spacing w:line="276" w:lineRule="auto"/>
        <w:rPr>
          <w:rFonts w:cstheme="minorHAnsi"/>
          <w:b/>
          <w:color w:val="1F1F1F"/>
          <w:sz w:val="26"/>
          <w:szCs w:val="26"/>
          <w:shd w:val="clear" w:color="auto" w:fill="FFFFFF"/>
        </w:rPr>
      </w:pPr>
      <w:r w:rsidRPr="0085274A">
        <w:rPr>
          <w:rFonts w:cstheme="minorHAnsi"/>
          <w:b/>
          <w:color w:val="1F1F1F"/>
          <w:sz w:val="26"/>
          <w:szCs w:val="26"/>
          <w:shd w:val="clear" w:color="auto" w:fill="FFFFFF"/>
        </w:rPr>
        <w:t xml:space="preserve"> Objective:</w:t>
      </w:r>
    </w:p>
    <w:p w:rsidR="00712290" w:rsidRPr="0085274A" w:rsidRDefault="00712290" w:rsidP="00A9514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The objective of the study is to use the historical financial data of </w:t>
      </w:r>
      <w:r w:rsidR="00362EF8" w:rsidRPr="00A9514A">
        <w:rPr>
          <w:rFonts w:cstheme="minorHAnsi"/>
          <w:sz w:val="26"/>
          <w:szCs w:val="26"/>
        </w:rPr>
        <w:t>Zenith Bank PLC</w:t>
      </w:r>
      <w:r w:rsidR="00362EF8"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 </w:t>
      </w: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>up t</w:t>
      </w:r>
      <w:r w:rsidR="00362EF8" w:rsidRPr="0085274A">
        <w:rPr>
          <w:rFonts w:cstheme="minorHAnsi"/>
          <w:color w:val="1F1F1F"/>
          <w:sz w:val="26"/>
          <w:szCs w:val="26"/>
          <w:shd w:val="clear" w:color="auto" w:fill="FFFFFF"/>
        </w:rPr>
        <w:t>o the year 2023 to obtain an Intrinsic/Equity</w:t>
      </w: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 Value of the company using the Discount Cash Flow method.</w:t>
      </w:r>
    </w:p>
    <w:p w:rsidR="00712290" w:rsidRPr="0085274A" w:rsidRDefault="00712290" w:rsidP="00A9514A">
      <w:pPr>
        <w:spacing w:line="276" w:lineRule="auto"/>
        <w:rPr>
          <w:rFonts w:cstheme="minorHAnsi"/>
          <w:b/>
          <w:color w:val="1F1F1F"/>
          <w:sz w:val="26"/>
          <w:szCs w:val="26"/>
          <w:shd w:val="clear" w:color="auto" w:fill="FFFFFF"/>
        </w:rPr>
      </w:pPr>
      <w:r w:rsidRPr="0085274A">
        <w:rPr>
          <w:rFonts w:cstheme="minorHAnsi"/>
          <w:b/>
          <w:color w:val="1F1F1F"/>
          <w:sz w:val="26"/>
          <w:szCs w:val="26"/>
          <w:shd w:val="clear" w:color="auto" w:fill="FFFFFF"/>
        </w:rPr>
        <w:t>Methodology:</w:t>
      </w:r>
    </w:p>
    <w:p w:rsidR="00712290" w:rsidRPr="0085274A" w:rsidRDefault="00712290" w:rsidP="00A9514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The historical financial data </w:t>
      </w:r>
      <w:r w:rsidR="00362EF8" w:rsidRPr="0085274A">
        <w:rPr>
          <w:rFonts w:cstheme="minorHAnsi"/>
          <w:color w:val="1F1F1F"/>
          <w:sz w:val="26"/>
          <w:szCs w:val="26"/>
          <w:shd w:val="clear" w:color="auto" w:fill="FFFFFF"/>
        </w:rPr>
        <w:t>from 2021</w:t>
      </w: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to 2023 for the company was obtained from </w:t>
      </w:r>
      <w:r w:rsidR="00362EF8" w:rsidRPr="0085274A">
        <w:rPr>
          <w:rFonts w:cstheme="minorHAnsi"/>
          <w:color w:val="1F1F1F"/>
          <w:sz w:val="26"/>
          <w:szCs w:val="26"/>
          <w:shd w:val="clear" w:color="auto" w:fill="FFFFFF"/>
        </w:rPr>
        <w:t>Reuters financial website</w:t>
      </w: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>. The forecast data is from 2024 to 2028. The scientific method of Linear Equation was mostly used to forecast the financial variables. Only in few cases were assumptions made.</w:t>
      </w:r>
    </w:p>
    <w:p w:rsidR="00712290" w:rsidRPr="0085274A" w:rsidRDefault="00E23599" w:rsidP="00A9514A">
      <w:pPr>
        <w:spacing w:line="276" w:lineRule="auto"/>
        <w:rPr>
          <w:rFonts w:cstheme="minorHAnsi"/>
          <w:b/>
          <w:color w:val="1F1F1F"/>
          <w:sz w:val="26"/>
          <w:szCs w:val="26"/>
          <w:shd w:val="clear" w:color="auto" w:fill="FFFFFF"/>
        </w:rPr>
      </w:pPr>
      <w:r w:rsidRPr="0085274A">
        <w:rPr>
          <w:rFonts w:cstheme="minorHAnsi"/>
          <w:b/>
          <w:color w:val="1F1F1F"/>
          <w:sz w:val="26"/>
          <w:szCs w:val="26"/>
          <w:shd w:val="clear" w:color="auto" w:fill="FFFFFF"/>
        </w:rPr>
        <w:t>Below is a line graph</w:t>
      </w:r>
      <w:r w:rsidR="00712290" w:rsidRPr="0085274A">
        <w:rPr>
          <w:rFonts w:cstheme="minorHAnsi"/>
          <w:b/>
          <w:color w:val="1F1F1F"/>
          <w:sz w:val="26"/>
          <w:szCs w:val="26"/>
          <w:shd w:val="clear" w:color="auto" w:fill="FFFFFF"/>
        </w:rPr>
        <w:t xml:space="preserve"> o</w:t>
      </w:r>
      <w:r w:rsidR="00A9514A">
        <w:rPr>
          <w:rFonts w:cstheme="minorHAnsi"/>
          <w:b/>
          <w:color w:val="1F1F1F"/>
          <w:sz w:val="26"/>
          <w:szCs w:val="26"/>
          <w:shd w:val="clear" w:color="auto" w:fill="FFFFFF"/>
        </w:rPr>
        <w:t>f an</w:t>
      </w:r>
      <w:r w:rsidRPr="0085274A">
        <w:rPr>
          <w:rFonts w:cstheme="minorHAnsi"/>
          <w:b/>
          <w:color w:val="1F1F1F"/>
          <w:sz w:val="26"/>
          <w:szCs w:val="26"/>
          <w:shd w:val="clear" w:color="auto" w:fill="FFFFFF"/>
        </w:rPr>
        <w:t xml:space="preserve"> income statement variable</w:t>
      </w:r>
      <w:r w:rsidR="00690866">
        <w:rPr>
          <w:rFonts w:cstheme="minorHAnsi"/>
          <w:b/>
          <w:bCs/>
          <w:color w:val="171717"/>
          <w:sz w:val="26"/>
          <w:szCs w:val="26"/>
        </w:rPr>
        <w:t xml:space="preserve"> in Million</w:t>
      </w:r>
      <w:r w:rsidRPr="0085274A">
        <w:rPr>
          <w:rFonts w:cstheme="minorHAnsi"/>
          <w:b/>
          <w:bCs/>
          <w:color w:val="171717"/>
          <w:sz w:val="26"/>
          <w:szCs w:val="26"/>
        </w:rPr>
        <w:t xml:space="preserve"> of Naira (NGN)</w:t>
      </w:r>
      <w:r w:rsidRPr="0085274A">
        <w:rPr>
          <w:rFonts w:cstheme="minorHAnsi"/>
          <w:b/>
          <w:color w:val="1F1F1F"/>
          <w:sz w:val="26"/>
          <w:szCs w:val="26"/>
          <w:shd w:val="clear" w:color="auto" w:fill="FFFFFF"/>
        </w:rPr>
        <w:t>.</w:t>
      </w:r>
    </w:p>
    <w:p w:rsidR="00712290" w:rsidRPr="0085274A" w:rsidRDefault="00712290" w:rsidP="00A9514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</w:p>
    <w:p w:rsidR="00712290" w:rsidRPr="0085274A" w:rsidRDefault="00644086" w:rsidP="00A9514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85274A">
        <w:rPr>
          <w:rFonts w:cstheme="minorHAnsi"/>
          <w:noProof/>
          <w:sz w:val="26"/>
          <w:szCs w:val="26"/>
        </w:rPr>
        <w:drawing>
          <wp:inline distT="0" distB="0" distL="0" distR="0" wp14:anchorId="06CADCB1" wp14:editId="44CAE49E">
            <wp:extent cx="7391400" cy="36480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12290" w:rsidRPr="0085274A" w:rsidRDefault="00712290" w:rsidP="00A9514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>Line chart above showing the histo</w:t>
      </w:r>
      <w:r w:rsidR="00574A12"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rical and forecasted Diluted Net Income of </w:t>
      </w:r>
      <w:r w:rsidR="00574A12" w:rsidRPr="0085274A">
        <w:rPr>
          <w:rFonts w:cstheme="minorHAnsi"/>
          <w:sz w:val="26"/>
          <w:szCs w:val="26"/>
        </w:rPr>
        <w:t>Zenith Bank PLC.</w:t>
      </w:r>
    </w:p>
    <w:p w:rsidR="00E23599" w:rsidRPr="0085274A" w:rsidRDefault="00E23599" w:rsidP="00A9514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</w:p>
    <w:p w:rsidR="00712290" w:rsidRPr="0085274A" w:rsidRDefault="00A9514A" w:rsidP="00A9514A">
      <w:pPr>
        <w:spacing w:line="276" w:lineRule="auto"/>
        <w:rPr>
          <w:rFonts w:eastAsia="Times New Roman" w:cstheme="minorHAnsi"/>
          <w:b/>
          <w:bCs/>
          <w:color w:val="000000"/>
          <w:sz w:val="26"/>
          <w:szCs w:val="26"/>
        </w:rPr>
      </w:pPr>
      <w:r>
        <w:rPr>
          <w:rFonts w:cstheme="minorHAnsi"/>
          <w:b/>
          <w:color w:val="1F1F1F"/>
          <w:sz w:val="26"/>
          <w:szCs w:val="26"/>
          <w:shd w:val="clear" w:color="auto" w:fill="FFFFFF"/>
        </w:rPr>
        <w:t>Below are line charts</w:t>
      </w:r>
      <w:r w:rsidR="00E23599" w:rsidRPr="0085274A">
        <w:rPr>
          <w:rFonts w:cstheme="minorHAnsi"/>
          <w:b/>
          <w:color w:val="1F1F1F"/>
          <w:sz w:val="26"/>
          <w:szCs w:val="26"/>
          <w:shd w:val="clear" w:color="auto" w:fill="FFFFFF"/>
        </w:rPr>
        <w:t xml:space="preserve"> of three</w:t>
      </w:r>
      <w:r w:rsidR="00712290" w:rsidRPr="0085274A">
        <w:rPr>
          <w:rFonts w:cstheme="minorHAnsi"/>
          <w:b/>
          <w:color w:val="1F1F1F"/>
          <w:sz w:val="26"/>
          <w:szCs w:val="26"/>
          <w:shd w:val="clear" w:color="auto" w:fill="FFFFFF"/>
        </w:rPr>
        <w:t xml:space="preserve"> variables </w:t>
      </w:r>
      <w:r w:rsidR="00E23599" w:rsidRPr="0085274A">
        <w:rPr>
          <w:rFonts w:cstheme="minorHAnsi"/>
          <w:b/>
          <w:color w:val="1F1F1F"/>
          <w:sz w:val="26"/>
          <w:szCs w:val="26"/>
          <w:shd w:val="clear" w:color="auto" w:fill="FFFFFF"/>
        </w:rPr>
        <w:t>of</w:t>
      </w:r>
      <w:r w:rsidR="00E23599" w:rsidRPr="0085274A">
        <w:rPr>
          <w:rFonts w:eastAsia="Times New Roman" w:cstheme="minorHAnsi"/>
          <w:b/>
          <w:bCs/>
          <w:color w:val="000000"/>
          <w:sz w:val="26"/>
          <w:szCs w:val="26"/>
        </w:rPr>
        <w:t xml:space="preserve"> the Balance Sheets - </w:t>
      </w:r>
      <w:r w:rsidR="00690866">
        <w:rPr>
          <w:rFonts w:cstheme="minorHAnsi"/>
          <w:b/>
          <w:bCs/>
          <w:color w:val="171717"/>
          <w:sz w:val="26"/>
          <w:szCs w:val="26"/>
        </w:rPr>
        <w:t>Million</w:t>
      </w:r>
      <w:r w:rsidR="00E23599" w:rsidRPr="0085274A">
        <w:rPr>
          <w:rFonts w:cstheme="minorHAnsi"/>
          <w:b/>
          <w:bCs/>
          <w:color w:val="171717"/>
          <w:sz w:val="26"/>
          <w:szCs w:val="26"/>
        </w:rPr>
        <w:t xml:space="preserve"> of Naira (NGN)</w:t>
      </w:r>
    </w:p>
    <w:p w:rsidR="00712290" w:rsidRPr="0085274A" w:rsidRDefault="00EE3836" w:rsidP="00A9514A">
      <w:pPr>
        <w:spacing w:line="276" w:lineRule="auto"/>
        <w:rPr>
          <w:rFonts w:eastAsia="Times New Roman" w:cstheme="minorHAnsi"/>
          <w:bCs/>
          <w:color w:val="000000"/>
          <w:sz w:val="26"/>
          <w:szCs w:val="26"/>
        </w:rPr>
      </w:pPr>
      <w:r w:rsidRPr="0085274A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639143EA" wp14:editId="2662FE7C">
            <wp:extent cx="7477125" cy="379095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12290" w:rsidRPr="0085274A" w:rsidRDefault="00712290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Line chart above showing the historical and forecasted Total Asset of </w:t>
      </w:r>
      <w:r w:rsidR="00574A12" w:rsidRPr="0085274A">
        <w:rPr>
          <w:rFonts w:cstheme="minorHAnsi"/>
          <w:sz w:val="26"/>
          <w:szCs w:val="26"/>
        </w:rPr>
        <w:t>Zenith Bank PLC</w:t>
      </w:r>
      <w:r w:rsidRPr="0085274A">
        <w:rPr>
          <w:rFonts w:cstheme="minorHAnsi"/>
          <w:bCs/>
          <w:color w:val="171717"/>
          <w:sz w:val="26"/>
          <w:szCs w:val="26"/>
        </w:rPr>
        <w:t>.</w:t>
      </w:r>
    </w:p>
    <w:p w:rsidR="008271EA" w:rsidRPr="0085274A" w:rsidRDefault="008271EA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8271EA" w:rsidRPr="0085274A" w:rsidRDefault="008271EA" w:rsidP="00A9514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85274A">
        <w:rPr>
          <w:rFonts w:cstheme="minorHAnsi"/>
          <w:noProof/>
          <w:sz w:val="26"/>
          <w:szCs w:val="26"/>
        </w:rPr>
        <w:drawing>
          <wp:inline distT="0" distB="0" distL="0" distR="0" wp14:anchorId="19F5BC23" wp14:editId="19E52DB8">
            <wp:extent cx="7591426" cy="4105276"/>
            <wp:effectExtent l="0" t="0" r="9525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74A12" w:rsidRPr="0085274A" w:rsidRDefault="00574A12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Line chart above showing the historical and forecasted Total Asset of </w:t>
      </w:r>
      <w:r w:rsidRPr="0085274A">
        <w:rPr>
          <w:rFonts w:cstheme="minorHAnsi"/>
          <w:sz w:val="26"/>
          <w:szCs w:val="26"/>
        </w:rPr>
        <w:t>Zenith Bank PLC</w:t>
      </w:r>
      <w:r w:rsidRPr="0085274A">
        <w:rPr>
          <w:rFonts w:cstheme="minorHAnsi"/>
          <w:bCs/>
          <w:color w:val="171717"/>
          <w:sz w:val="26"/>
          <w:szCs w:val="26"/>
        </w:rPr>
        <w:t>.</w:t>
      </w:r>
    </w:p>
    <w:p w:rsidR="00574A12" w:rsidRPr="0085274A" w:rsidRDefault="00574A12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8271EA" w:rsidRPr="0085274A" w:rsidRDefault="008271EA" w:rsidP="00A9514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</w:p>
    <w:p w:rsidR="00712290" w:rsidRPr="0085274A" w:rsidRDefault="002A056D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  <w:r w:rsidRPr="0085274A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15390136" wp14:editId="2445458C">
            <wp:extent cx="7629525" cy="4086225"/>
            <wp:effectExtent l="0" t="0" r="952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12290" w:rsidRPr="0085274A" w:rsidRDefault="00712290" w:rsidP="00A9514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>Line chart above showing the historical and forecasted T</w:t>
      </w:r>
      <w:r w:rsidR="00574A12"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otal Liabilities and Shareholders’ Equity </w:t>
      </w: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of </w:t>
      </w:r>
      <w:r w:rsidR="00574A12" w:rsidRPr="0085274A">
        <w:rPr>
          <w:rFonts w:cstheme="minorHAnsi"/>
          <w:sz w:val="26"/>
          <w:szCs w:val="26"/>
        </w:rPr>
        <w:t>Zenith Bank PLC</w:t>
      </w:r>
    </w:p>
    <w:p w:rsidR="00712290" w:rsidRPr="0085274A" w:rsidRDefault="00712290" w:rsidP="00A9514A">
      <w:pPr>
        <w:spacing w:line="276" w:lineRule="auto"/>
        <w:rPr>
          <w:rFonts w:cstheme="minorHAnsi"/>
          <w:b/>
          <w:bCs/>
          <w:color w:val="171717"/>
          <w:sz w:val="26"/>
          <w:szCs w:val="26"/>
        </w:rPr>
      </w:pPr>
    </w:p>
    <w:p w:rsidR="00712290" w:rsidRPr="0085274A" w:rsidRDefault="00E23599" w:rsidP="00A9514A">
      <w:pPr>
        <w:spacing w:line="276" w:lineRule="auto"/>
        <w:rPr>
          <w:rFonts w:cstheme="minorHAnsi"/>
          <w:b/>
          <w:bCs/>
          <w:color w:val="171717"/>
          <w:sz w:val="26"/>
          <w:szCs w:val="26"/>
        </w:rPr>
      </w:pPr>
      <w:r w:rsidRPr="0085274A">
        <w:rPr>
          <w:rFonts w:cstheme="minorHAnsi"/>
          <w:b/>
          <w:bCs/>
          <w:color w:val="171717"/>
          <w:sz w:val="26"/>
          <w:szCs w:val="26"/>
        </w:rPr>
        <w:t xml:space="preserve">Flows </w:t>
      </w:r>
      <w:r w:rsidR="00A9514A">
        <w:rPr>
          <w:rFonts w:cstheme="minorHAnsi"/>
          <w:b/>
          <w:bCs/>
          <w:color w:val="171717"/>
          <w:sz w:val="26"/>
          <w:szCs w:val="26"/>
        </w:rPr>
        <w:t>Below are line charts of three variables of Statement</w:t>
      </w:r>
      <w:r w:rsidR="001A483B" w:rsidRPr="0085274A">
        <w:rPr>
          <w:rFonts w:cstheme="minorHAnsi"/>
          <w:b/>
          <w:bCs/>
          <w:color w:val="171717"/>
          <w:sz w:val="26"/>
          <w:szCs w:val="26"/>
        </w:rPr>
        <w:t xml:space="preserve"> of Cash </w:t>
      </w:r>
      <w:r w:rsidR="00A9514A">
        <w:rPr>
          <w:rFonts w:cstheme="minorHAnsi"/>
          <w:b/>
          <w:bCs/>
          <w:color w:val="171717"/>
          <w:sz w:val="26"/>
          <w:szCs w:val="26"/>
        </w:rPr>
        <w:t>– Million</w:t>
      </w:r>
      <w:r w:rsidRPr="0085274A">
        <w:rPr>
          <w:rFonts w:cstheme="minorHAnsi"/>
          <w:b/>
          <w:bCs/>
          <w:color w:val="171717"/>
          <w:sz w:val="26"/>
          <w:szCs w:val="26"/>
        </w:rPr>
        <w:t xml:space="preserve"> of Naira (NGN)</w:t>
      </w:r>
    </w:p>
    <w:p w:rsidR="00712290" w:rsidRPr="0085274A" w:rsidRDefault="00712290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85274A" w:rsidRDefault="00712290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85274A" w:rsidRDefault="00712290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85274A" w:rsidRDefault="00712290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85274A" w:rsidRDefault="00712290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85274A" w:rsidRDefault="00712290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85274A" w:rsidRDefault="00712290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85274A" w:rsidRDefault="000D6870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  <w:r w:rsidRPr="0085274A">
        <w:rPr>
          <w:rFonts w:cstheme="minorHAnsi"/>
          <w:noProof/>
          <w:sz w:val="26"/>
          <w:szCs w:val="26"/>
        </w:rPr>
        <w:drawing>
          <wp:inline distT="0" distB="0" distL="0" distR="0" wp14:anchorId="375325DE" wp14:editId="4223F21D">
            <wp:extent cx="7620000" cy="409575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12290" w:rsidRPr="0085274A" w:rsidRDefault="00712290" w:rsidP="00A9514A">
      <w:pPr>
        <w:spacing w:line="276" w:lineRule="auto"/>
        <w:rPr>
          <w:rFonts w:cstheme="minorHAnsi"/>
          <w:sz w:val="26"/>
          <w:szCs w:val="26"/>
        </w:rPr>
      </w:pP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Line chart above showing the historical and forecasted of net cash from operating activities of </w:t>
      </w:r>
      <w:r w:rsidR="00574A12" w:rsidRPr="0085274A">
        <w:rPr>
          <w:rFonts w:cstheme="minorHAnsi"/>
          <w:sz w:val="26"/>
          <w:szCs w:val="26"/>
        </w:rPr>
        <w:t>Zenith Bank PLC.</w:t>
      </w:r>
    </w:p>
    <w:p w:rsidR="001A483B" w:rsidRPr="0085274A" w:rsidRDefault="001A483B" w:rsidP="00A9514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</w:p>
    <w:p w:rsidR="00712290" w:rsidRPr="0085274A" w:rsidRDefault="00234F49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  <w:r w:rsidRPr="0085274A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6E674377" wp14:editId="70AD592D">
            <wp:extent cx="7639050" cy="40767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12290" w:rsidRDefault="00712290" w:rsidP="00A9514A">
      <w:pPr>
        <w:spacing w:line="276" w:lineRule="auto"/>
        <w:rPr>
          <w:rFonts w:cstheme="minorHAnsi"/>
          <w:sz w:val="26"/>
          <w:szCs w:val="26"/>
        </w:rPr>
      </w:pP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>Line chart above showing the historical and forecasted of net ca</w:t>
      </w:r>
      <w:r w:rsidR="00574A12" w:rsidRPr="0085274A">
        <w:rPr>
          <w:rFonts w:cstheme="minorHAnsi"/>
          <w:color w:val="1F1F1F"/>
          <w:sz w:val="26"/>
          <w:szCs w:val="26"/>
          <w:shd w:val="clear" w:color="auto" w:fill="FFFFFF"/>
        </w:rPr>
        <w:t>sh from investing activities of</w:t>
      </w:r>
      <w:r w:rsidR="00574A12" w:rsidRPr="0085274A">
        <w:rPr>
          <w:rFonts w:cstheme="minorHAnsi"/>
          <w:sz w:val="26"/>
          <w:szCs w:val="26"/>
        </w:rPr>
        <w:t xml:space="preserve"> Zenith Bank PLC.</w:t>
      </w:r>
    </w:p>
    <w:p w:rsidR="00A9514A" w:rsidRPr="0085274A" w:rsidRDefault="00A9514A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85274A" w:rsidRDefault="00574A12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  <w:r w:rsidRPr="0085274A">
        <w:rPr>
          <w:rFonts w:cstheme="minorHAnsi"/>
          <w:noProof/>
          <w:sz w:val="26"/>
          <w:szCs w:val="26"/>
        </w:rPr>
        <w:drawing>
          <wp:inline distT="0" distB="0" distL="0" distR="0" wp14:anchorId="1D354672" wp14:editId="227C8A18">
            <wp:extent cx="7629525" cy="4124325"/>
            <wp:effectExtent l="0" t="0" r="9525" b="952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12290" w:rsidRPr="0085274A" w:rsidRDefault="00712290" w:rsidP="00A9514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85274A">
        <w:rPr>
          <w:rFonts w:cstheme="minorHAnsi"/>
          <w:color w:val="1F1F1F"/>
          <w:sz w:val="26"/>
          <w:szCs w:val="26"/>
          <w:shd w:val="clear" w:color="auto" w:fill="FFFFFF"/>
        </w:rPr>
        <w:t>Line chart above showing the historical and forecasted of net ca</w:t>
      </w:r>
      <w:r w:rsidR="00574A12" w:rsidRPr="0085274A">
        <w:rPr>
          <w:rFonts w:cstheme="minorHAnsi"/>
          <w:color w:val="1F1F1F"/>
          <w:sz w:val="26"/>
          <w:szCs w:val="26"/>
          <w:shd w:val="clear" w:color="auto" w:fill="FFFFFF"/>
        </w:rPr>
        <w:t xml:space="preserve">sh from financing activities of </w:t>
      </w:r>
      <w:r w:rsidR="00574A12" w:rsidRPr="0085274A">
        <w:rPr>
          <w:rFonts w:cstheme="minorHAnsi"/>
          <w:sz w:val="26"/>
          <w:szCs w:val="26"/>
        </w:rPr>
        <w:t>Zenith Bank PLC</w:t>
      </w:r>
      <w:r w:rsidR="000E4526" w:rsidRPr="0085274A">
        <w:rPr>
          <w:rFonts w:cstheme="minorHAnsi"/>
          <w:sz w:val="26"/>
          <w:szCs w:val="26"/>
        </w:rPr>
        <w:t>.</w:t>
      </w:r>
    </w:p>
    <w:tbl>
      <w:tblPr>
        <w:tblW w:w="14359" w:type="dxa"/>
        <w:tblLook w:val="04A0" w:firstRow="1" w:lastRow="0" w:firstColumn="1" w:lastColumn="0" w:noHBand="0" w:noVBand="1"/>
      </w:tblPr>
      <w:tblGrid>
        <w:gridCol w:w="5060"/>
        <w:gridCol w:w="1799"/>
        <w:gridCol w:w="2069"/>
        <w:gridCol w:w="1273"/>
        <w:gridCol w:w="1453"/>
        <w:gridCol w:w="1273"/>
        <w:gridCol w:w="1534"/>
      </w:tblGrid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444444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444444"/>
                <w:sz w:val="26"/>
                <w:szCs w:val="26"/>
              </w:rPr>
              <w:t>Zenith Bank PLC (ZENITHBA:NL) 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444444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color w:val="000000"/>
                <w:sz w:val="26"/>
                <w:szCs w:val="26"/>
              </w:rPr>
              <w:t>DISCOUNTED CASH FLOW TECHNIQUE OF VALUATION</w:t>
            </w:r>
            <w:r w:rsidR="00A9514A">
              <w:rPr>
                <w:rFonts w:eastAsia="Times New Roman" w:cstheme="minorHAnsi"/>
                <w:b/>
                <w:color w:val="000000"/>
                <w:sz w:val="26"/>
                <w:szCs w:val="26"/>
              </w:rPr>
              <w:t xml:space="preserve"> ( MILLION NAIRA </w:t>
            </w:r>
            <w:r w:rsidR="0051225C" w:rsidRPr="0051225C">
              <w:rPr>
                <w:rFonts w:eastAsia="Times New Roman" w:cstheme="minorHAnsi"/>
                <w:b/>
                <w:color w:val="000000"/>
                <w:sz w:val="26"/>
                <w:szCs w:val="26"/>
              </w:rPr>
              <w:t xml:space="preserve">(NGN) </w:t>
            </w:r>
            <w:r w:rsidR="00A9514A">
              <w:rPr>
                <w:rFonts w:eastAsia="Times New Roman" w:cstheme="minorHAnsi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Free cash flow to firm calculation (FCFF)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6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  <w:t>Operating cash profit calculation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1-Jan-23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1-Jan-28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Revenues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     2,755,086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3,386,151 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4,017,217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4,648,282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5,279,347 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Less: Operating expenses (COGS + SGA)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     1,168,621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1,407,921 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1,647,221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1,886,521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2,125,821 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Less: Depreciation</w:t>
            </w:r>
            <w:r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and Amortization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           35,211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37,096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38,980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40,865 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42,750 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Earnings before interest and tax (EBIT)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           1,551,254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1,941,135 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2,331,015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2,720,896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3,110,776 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Less: Operating taxes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         159,053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199,053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239,053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279,053 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319,053 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lastRenderedPageBreak/>
              <w:t>Post tax operating profit (NOPLAT)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           1,392,201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1,742,082 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2,091,962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2,441,843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2,791,723 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Add: Depreciation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           35,211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37,096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38,980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40,865 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42,750 </w:t>
            </w: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Post tax operating cash profit</w:t>
            </w:r>
          </w:p>
        </w:tc>
        <w:tc>
          <w:tcPr>
            <w:tcW w:w="17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           1,427,412 </w:t>
            </w:r>
          </w:p>
        </w:tc>
        <w:tc>
          <w:tcPr>
            <w:tcW w:w="122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1,779,177 </w:t>
            </w:r>
          </w:p>
        </w:tc>
        <w:tc>
          <w:tcPr>
            <w:tcW w:w="145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2,130,943 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2,482,708 </w:t>
            </w:r>
          </w:p>
        </w:tc>
        <w:tc>
          <w:tcPr>
            <w:tcW w:w="15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2,834,473 </w:t>
            </w: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  <w:t>Operating cash investments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> 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Capital expenditures investments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         (75,175)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(88,740)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(102,305)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(115,870)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(129,435)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Working Capital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1,947,090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     2,657,672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3,368,254 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4,078,836 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4,789,418 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5,500,000 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Increase in working capital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         710,582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710,582 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710,582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710,582 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710,582 </w:t>
            </w: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Operating cash investments</w:t>
            </w:r>
          </w:p>
        </w:tc>
        <w:tc>
          <w:tcPr>
            <w:tcW w:w="17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               635,407 </w:t>
            </w:r>
          </w:p>
        </w:tc>
        <w:tc>
          <w:tcPr>
            <w:tcW w:w="122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621,842 </w:t>
            </w:r>
          </w:p>
        </w:tc>
        <w:tc>
          <w:tcPr>
            <w:tcW w:w="145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   608,277 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594,712 </w:t>
            </w:r>
          </w:p>
        </w:tc>
        <w:tc>
          <w:tcPr>
            <w:tcW w:w="15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    581,147 </w:t>
            </w: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6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  <w:t>Free cash flow to firm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1-Jan-23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1-Jan-28</w:t>
            </w: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FCFF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               792,005 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1,157,335 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1,522,666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1,887,996 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2,253,326 </w:t>
            </w: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  <w:t>Cost of Capital calculation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  <w:t>Percent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Tax rate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15%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Cost of debt 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2%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Bloomberg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Cost of equity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6%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Bloomberg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Target capital structure (debt to capital)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15%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Bloomberg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WACC (Weighted average cost of capital)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5.6%</w:t>
            </w:r>
          </w:p>
        </w:tc>
        <w:tc>
          <w:tcPr>
            <w:tcW w:w="7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WACC=% of debt in total capital*post tax cost of debt+% of equity*cost of equity</w:t>
            </w: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6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  <w:t>Present value of future cash flows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1-Jan-23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1-Jan-28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Years from current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5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Discount factor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0.9</w:t>
            </w:r>
            <w:r w:rsidR="00A9514A">
              <w:rPr>
                <w:rFonts w:eastAsia="Times New Roman" w:cstheme="minorHAnsi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0.8</w:t>
            </w:r>
            <w:r w:rsidR="00A9514A">
              <w:rPr>
                <w:rFonts w:eastAsia="Times New Roman" w:cstheme="minorHAnsi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A951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>
              <w:rPr>
                <w:rFonts w:eastAsia="Times New Roman" w:cstheme="minorHAnsi"/>
                <w:color w:val="000000"/>
                <w:sz w:val="26"/>
                <w:szCs w:val="26"/>
              </w:rPr>
              <w:t>0.76</w:t>
            </w:r>
            <w:bookmarkStart w:id="0" w:name="_GoBack"/>
            <w:bookmarkEnd w:id="0"/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Present value of FCFF</w:t>
            </w:r>
          </w:p>
        </w:tc>
        <w:tc>
          <w:tcPr>
            <w:tcW w:w="179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6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               749,933 </w:t>
            </w:r>
          </w:p>
        </w:tc>
        <w:tc>
          <w:tcPr>
            <w:tcW w:w="122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1,037,643 </w:t>
            </w:r>
          </w:p>
        </w:tc>
        <w:tc>
          <w:tcPr>
            <w:tcW w:w="145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1,292,671 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1,517,675 </w:t>
            </w:r>
          </w:p>
        </w:tc>
        <w:tc>
          <w:tcPr>
            <w:tcW w:w="15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1,715,127 </w:t>
            </w: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6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  <w:t>Terminal value calculation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1-Jan-23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1-Jan-25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1-Jan-27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center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1-Jan-28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Terminal growth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3%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Terminal value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3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TV=FCFF (2028)*(1+g)/(WACC-g)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88,920,271 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Present value of terminal value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67,681,987 </w:t>
            </w: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15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  <w:t>Share price calculation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:rsidR="0085274A" w:rsidRPr="0085274A" w:rsidRDefault="009446A3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</w:pPr>
            <w:r>
              <w:rPr>
                <w:rFonts w:eastAsia="Times New Roman" w:cstheme="minorHAnsi"/>
                <w:sz w:val="26"/>
                <w:szCs w:val="26"/>
              </w:rPr>
              <w:t>1-Jan-23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Enterprise value (EV) for Zenith Bank PLC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 xml:space="preserve">               73,995,037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Less: Short term debt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 xml:space="preserve">                                -  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Less: Long term debt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 xml:space="preserve">                 1,694,850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Less: Other long term liabilities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 xml:space="preserve">                     768,997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Add: Cash and cash equivalents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 xml:space="preserve">                 6,087,688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Add: Other long term assets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sz w:val="26"/>
                <w:szCs w:val="26"/>
              </w:rPr>
              <w:t xml:space="preserve">                       17,251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lastRenderedPageBreak/>
              <w:t>Consolidated equity value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    77,636,129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Less: Market Value of minority interest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      51,770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Zenith Bank PLC equity value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              77,584,358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Total diluted shares outstanding (</w:t>
            </w:r>
            <w:proofErr w:type="spellStart"/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Mn</w:t>
            </w:r>
            <w:proofErr w:type="spellEnd"/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                      31,506 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Zenith Bank PLC equity value per share</w:t>
            </w:r>
            <w:r w:rsidR="0051225C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 xml:space="preserve"> (NGN)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2462.6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2023 Share price</w:t>
            </w:r>
            <w:r w:rsidR="0051225C">
              <w:rPr>
                <w:rFonts w:eastAsia="Times New Roman" w:cstheme="minorHAnsi"/>
                <w:color w:val="000000"/>
                <w:sz w:val="26"/>
                <w:szCs w:val="26"/>
              </w:rPr>
              <w:t xml:space="preserve"> (NGN)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color w:val="000000"/>
                <w:sz w:val="26"/>
                <w:szCs w:val="26"/>
              </w:rPr>
              <w:t>35.1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  <w:tr w:rsidR="0085274A" w:rsidRPr="0085274A" w:rsidTr="0085274A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Margin of safety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  <w:r w:rsidRPr="0085274A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  <w:t>98.57%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74A" w:rsidRPr="0085274A" w:rsidRDefault="0085274A" w:rsidP="00A9514A">
            <w:pPr>
              <w:spacing w:after="0" w:line="276" w:lineRule="auto"/>
              <w:rPr>
                <w:rFonts w:eastAsia="Times New Roman" w:cstheme="minorHAnsi"/>
                <w:sz w:val="26"/>
                <w:szCs w:val="26"/>
              </w:rPr>
            </w:pPr>
          </w:p>
        </w:tc>
      </w:tr>
    </w:tbl>
    <w:p w:rsidR="00712290" w:rsidRPr="0085274A" w:rsidRDefault="00712290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574A12" w:rsidRPr="0085274A" w:rsidRDefault="00574A12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</w:p>
    <w:p w:rsidR="00712290" w:rsidRPr="0085274A" w:rsidRDefault="00712290" w:rsidP="00A9514A">
      <w:pPr>
        <w:spacing w:line="276" w:lineRule="auto"/>
        <w:rPr>
          <w:rFonts w:cstheme="minorHAnsi"/>
          <w:bCs/>
          <w:color w:val="171717"/>
          <w:sz w:val="26"/>
          <w:szCs w:val="26"/>
        </w:rPr>
      </w:pPr>
      <w:r w:rsidRPr="0085274A">
        <w:rPr>
          <w:rFonts w:cstheme="minorHAnsi"/>
          <w:bCs/>
          <w:color w:val="171717"/>
          <w:sz w:val="26"/>
          <w:szCs w:val="26"/>
        </w:rPr>
        <w:t xml:space="preserve">The </w:t>
      </w:r>
      <w:r w:rsidR="009F2606" w:rsidRPr="0085274A">
        <w:rPr>
          <w:rFonts w:cstheme="minorHAnsi"/>
          <w:bCs/>
          <w:color w:val="171717"/>
          <w:sz w:val="26"/>
          <w:szCs w:val="26"/>
        </w:rPr>
        <w:t>Enterprise value (EV) of Zenith Bank PLC</w:t>
      </w:r>
      <w:r w:rsidRPr="0085274A">
        <w:rPr>
          <w:rFonts w:cstheme="minorHAnsi"/>
          <w:bCs/>
          <w:color w:val="171717"/>
          <w:sz w:val="26"/>
          <w:szCs w:val="26"/>
        </w:rPr>
        <w:t xml:space="preserve"> is obtained by adding the present values of FCFF and the present value of the terminal value. </w:t>
      </w:r>
      <w:r w:rsidR="00625226" w:rsidRPr="0085274A">
        <w:rPr>
          <w:rFonts w:cstheme="minorHAnsi"/>
          <w:bCs/>
          <w:color w:val="171717"/>
          <w:sz w:val="26"/>
          <w:szCs w:val="26"/>
        </w:rPr>
        <w:t>The terminal growth rate is based on the current GDP growth rate of Nigeria. The discount rate of the terminal value is the discount rate value for the year 2028.</w:t>
      </w:r>
      <w:r w:rsidR="001A483B" w:rsidRPr="0085274A">
        <w:rPr>
          <w:rFonts w:cstheme="minorHAnsi"/>
          <w:bCs/>
          <w:color w:val="171717"/>
          <w:sz w:val="26"/>
          <w:szCs w:val="26"/>
        </w:rPr>
        <w:t xml:space="preserve"> </w:t>
      </w:r>
      <w:r w:rsidRPr="0085274A">
        <w:rPr>
          <w:rFonts w:cstheme="minorHAnsi"/>
          <w:bCs/>
          <w:color w:val="171717"/>
          <w:sz w:val="26"/>
          <w:szCs w:val="26"/>
        </w:rPr>
        <w:t>The market value of the minority interest was derived from the year 2023</w:t>
      </w:r>
      <w:r w:rsidR="00DC4CEB" w:rsidRPr="0085274A">
        <w:rPr>
          <w:rFonts w:cstheme="minorHAnsi"/>
          <w:bCs/>
          <w:color w:val="171717"/>
          <w:sz w:val="26"/>
          <w:szCs w:val="26"/>
        </w:rPr>
        <w:t xml:space="preserve"> book values of Zenith Bank PLC</w:t>
      </w:r>
      <w:r w:rsidR="009F2606" w:rsidRPr="0085274A">
        <w:rPr>
          <w:rFonts w:cstheme="minorHAnsi"/>
          <w:bCs/>
          <w:color w:val="171717"/>
          <w:sz w:val="26"/>
          <w:szCs w:val="26"/>
        </w:rPr>
        <w:t xml:space="preserve">, </w:t>
      </w:r>
      <w:r w:rsidRPr="0085274A">
        <w:rPr>
          <w:rFonts w:cstheme="minorHAnsi"/>
          <w:bCs/>
          <w:color w:val="171717"/>
          <w:sz w:val="26"/>
          <w:szCs w:val="26"/>
        </w:rPr>
        <w:t>minority interest, and the e</w:t>
      </w:r>
      <w:r w:rsidR="009F2606" w:rsidRPr="0085274A">
        <w:rPr>
          <w:rFonts w:cstheme="minorHAnsi"/>
          <w:bCs/>
          <w:color w:val="171717"/>
          <w:sz w:val="26"/>
          <w:szCs w:val="26"/>
        </w:rPr>
        <w:t>nterprise value (EV) for Zenith Bank PLC</w:t>
      </w:r>
      <w:r w:rsidRPr="0085274A">
        <w:rPr>
          <w:rFonts w:cstheme="minorHAnsi"/>
          <w:bCs/>
          <w:color w:val="171717"/>
          <w:sz w:val="26"/>
          <w:szCs w:val="26"/>
        </w:rPr>
        <w:t>.</w:t>
      </w:r>
    </w:p>
    <w:p w:rsidR="00712290" w:rsidRPr="0085274A" w:rsidRDefault="00712290" w:rsidP="00A9514A">
      <w:pPr>
        <w:spacing w:line="276" w:lineRule="auto"/>
        <w:rPr>
          <w:rFonts w:cstheme="minorHAnsi"/>
          <w:b/>
          <w:bCs/>
          <w:color w:val="171717"/>
          <w:sz w:val="26"/>
          <w:szCs w:val="26"/>
        </w:rPr>
      </w:pPr>
      <w:r w:rsidRPr="0085274A">
        <w:rPr>
          <w:rFonts w:cstheme="minorHAnsi"/>
          <w:b/>
          <w:bCs/>
          <w:color w:val="171717"/>
          <w:sz w:val="26"/>
          <w:szCs w:val="26"/>
        </w:rPr>
        <w:t>Conclusion:</w:t>
      </w:r>
    </w:p>
    <w:p w:rsidR="00712290" w:rsidRPr="0085274A" w:rsidRDefault="009F2606" w:rsidP="00A9514A">
      <w:pPr>
        <w:spacing w:line="276" w:lineRule="auto"/>
        <w:rPr>
          <w:rFonts w:cstheme="minorHAnsi"/>
          <w:sz w:val="26"/>
          <w:szCs w:val="26"/>
        </w:rPr>
      </w:pPr>
      <w:r w:rsidRPr="0085274A">
        <w:rPr>
          <w:rFonts w:cstheme="minorHAnsi"/>
          <w:sz w:val="26"/>
          <w:szCs w:val="26"/>
        </w:rPr>
        <w:t>Based on the DCF valuation,</w:t>
      </w:r>
      <w:r w:rsidR="00F11A73">
        <w:rPr>
          <w:rFonts w:cstheme="minorHAnsi"/>
          <w:sz w:val="26"/>
          <w:szCs w:val="26"/>
        </w:rPr>
        <w:t xml:space="preserve"> Zenith bank PLC</w:t>
      </w:r>
      <w:r w:rsidRPr="0085274A">
        <w:rPr>
          <w:rFonts w:cstheme="minorHAnsi"/>
          <w:sz w:val="26"/>
          <w:szCs w:val="26"/>
        </w:rPr>
        <w:t xml:space="preserve"> </w:t>
      </w:r>
      <w:r w:rsidR="00712290" w:rsidRPr="0085274A">
        <w:rPr>
          <w:rFonts w:cstheme="minorHAnsi"/>
          <w:sz w:val="26"/>
          <w:szCs w:val="26"/>
        </w:rPr>
        <w:t>stock is </w:t>
      </w:r>
      <w:r w:rsidR="00712290" w:rsidRPr="0085274A">
        <w:rPr>
          <w:rStyle w:val="Strong"/>
          <w:rFonts w:cstheme="minorHAnsi"/>
          <w:color w:val="444444"/>
          <w:sz w:val="26"/>
          <w:szCs w:val="26"/>
        </w:rPr>
        <w:t>undervalued</w:t>
      </w:r>
      <w:r w:rsidRPr="0085274A">
        <w:rPr>
          <w:rFonts w:cstheme="minorHAnsi"/>
          <w:sz w:val="26"/>
          <w:szCs w:val="26"/>
        </w:rPr>
        <w:t xml:space="preserve">. The DCF value of </w:t>
      </w:r>
      <w:r w:rsidR="00DC4CEB" w:rsidRPr="0085274A">
        <w:rPr>
          <w:rFonts w:cstheme="minorHAnsi"/>
          <w:sz w:val="26"/>
          <w:szCs w:val="26"/>
        </w:rPr>
        <w:t>NGN</w:t>
      </w:r>
      <w:r w:rsidR="008F1AF6" w:rsidRPr="0085274A">
        <w:rPr>
          <w:rFonts w:cstheme="minorHAnsi"/>
          <w:sz w:val="26"/>
          <w:szCs w:val="26"/>
        </w:rPr>
        <w:t>2462</w:t>
      </w:r>
      <w:r w:rsidR="00DC4CEB" w:rsidRPr="0085274A">
        <w:rPr>
          <w:rFonts w:cstheme="minorHAnsi"/>
          <w:sz w:val="26"/>
          <w:szCs w:val="26"/>
        </w:rPr>
        <w:t>.</w:t>
      </w:r>
      <w:r w:rsidR="008F1AF6" w:rsidRPr="0085274A">
        <w:rPr>
          <w:rFonts w:cstheme="minorHAnsi"/>
          <w:sz w:val="26"/>
          <w:szCs w:val="26"/>
        </w:rPr>
        <w:t xml:space="preserve">6 </w:t>
      </w:r>
      <w:r w:rsidR="00712290" w:rsidRPr="0085274A">
        <w:rPr>
          <w:rFonts w:cstheme="minorHAnsi"/>
          <w:sz w:val="26"/>
          <w:szCs w:val="26"/>
        </w:rPr>
        <w:t>per share is highe</w:t>
      </w:r>
      <w:r w:rsidR="00712290" w:rsidRPr="0085274A">
        <w:rPr>
          <w:rStyle w:val="Strong"/>
          <w:rFonts w:cstheme="minorHAnsi"/>
          <w:color w:val="444444"/>
          <w:sz w:val="26"/>
          <w:szCs w:val="26"/>
        </w:rPr>
        <w:t>r</w:t>
      </w:r>
      <w:r w:rsidR="00712290" w:rsidRPr="0085274A">
        <w:rPr>
          <w:rFonts w:cstheme="minorHAnsi"/>
          <w:sz w:val="26"/>
          <w:szCs w:val="26"/>
        </w:rPr>
        <w:t> than</w:t>
      </w:r>
      <w:r w:rsidR="008F1AF6" w:rsidRPr="0085274A">
        <w:rPr>
          <w:rFonts w:cstheme="minorHAnsi"/>
          <w:sz w:val="26"/>
          <w:szCs w:val="26"/>
        </w:rPr>
        <w:t xml:space="preserve"> the</w:t>
      </w:r>
      <w:r w:rsidR="00DC4CEB" w:rsidRPr="0085274A">
        <w:rPr>
          <w:rFonts w:cstheme="minorHAnsi"/>
          <w:sz w:val="26"/>
          <w:szCs w:val="26"/>
        </w:rPr>
        <w:t xml:space="preserve"> 2023</w:t>
      </w:r>
      <w:r w:rsidR="008F1AF6" w:rsidRPr="0085274A">
        <w:rPr>
          <w:rFonts w:cstheme="minorHAnsi"/>
          <w:sz w:val="26"/>
          <w:szCs w:val="26"/>
        </w:rPr>
        <w:t xml:space="preserve"> </w:t>
      </w:r>
      <w:r w:rsidR="00DC4CEB" w:rsidRPr="0085274A">
        <w:rPr>
          <w:rFonts w:cstheme="minorHAnsi"/>
          <w:sz w:val="26"/>
          <w:szCs w:val="26"/>
        </w:rPr>
        <w:t>market price of NGN35.1. The Margin of Safety is 98.57</w:t>
      </w:r>
      <w:r w:rsidR="00712290" w:rsidRPr="0085274A">
        <w:rPr>
          <w:rFonts w:cstheme="minorHAnsi"/>
          <w:sz w:val="26"/>
          <w:szCs w:val="26"/>
        </w:rPr>
        <w:t>%.</w:t>
      </w:r>
    </w:p>
    <w:p w:rsidR="00712290" w:rsidRPr="0085274A" w:rsidRDefault="00712290" w:rsidP="00A9514A">
      <w:pPr>
        <w:spacing w:line="276" w:lineRule="auto"/>
        <w:rPr>
          <w:rFonts w:cstheme="minorHAnsi"/>
          <w:sz w:val="26"/>
          <w:szCs w:val="26"/>
        </w:rPr>
      </w:pPr>
      <w:r w:rsidRPr="0085274A">
        <w:rPr>
          <w:rFonts w:cstheme="minorHAnsi"/>
          <w:sz w:val="26"/>
          <w:szCs w:val="26"/>
        </w:rPr>
        <w:t>It is important to note that this valuation is based on a number of assumptions, and these assumptions could change in the future. This valuation is meant to be a back-of-the-envelope analyze that could be used as a starting point in a much more thorough valuation process. As a result, it is important to do your own research before making any investment decision.</w:t>
      </w:r>
    </w:p>
    <w:p w:rsidR="00712290" w:rsidRPr="0085274A" w:rsidRDefault="00712290" w:rsidP="00A9514A">
      <w:pPr>
        <w:spacing w:line="276" w:lineRule="auto"/>
        <w:rPr>
          <w:rFonts w:cstheme="minorHAnsi"/>
          <w:b/>
          <w:bCs/>
          <w:color w:val="171717"/>
          <w:sz w:val="26"/>
          <w:szCs w:val="26"/>
        </w:rPr>
      </w:pPr>
    </w:p>
    <w:p w:rsidR="001C070D" w:rsidRPr="0085274A" w:rsidRDefault="001C070D" w:rsidP="00A9514A">
      <w:pPr>
        <w:spacing w:line="276" w:lineRule="auto"/>
        <w:rPr>
          <w:rFonts w:cstheme="minorHAnsi"/>
          <w:sz w:val="26"/>
          <w:szCs w:val="26"/>
        </w:rPr>
      </w:pPr>
    </w:p>
    <w:sectPr w:rsidR="001C070D" w:rsidRPr="0085274A" w:rsidSect="00D17FF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90"/>
    <w:rsid w:val="000D6870"/>
    <w:rsid w:val="000E4526"/>
    <w:rsid w:val="001A483B"/>
    <w:rsid w:val="001C070D"/>
    <w:rsid w:val="00234F49"/>
    <w:rsid w:val="002A056D"/>
    <w:rsid w:val="00333D08"/>
    <w:rsid w:val="00356D78"/>
    <w:rsid w:val="00362EF8"/>
    <w:rsid w:val="003C31CB"/>
    <w:rsid w:val="0051225C"/>
    <w:rsid w:val="00574A12"/>
    <w:rsid w:val="00625226"/>
    <w:rsid w:val="00644086"/>
    <w:rsid w:val="00646D16"/>
    <w:rsid w:val="00690866"/>
    <w:rsid w:val="00712290"/>
    <w:rsid w:val="008271EA"/>
    <w:rsid w:val="0085274A"/>
    <w:rsid w:val="008F1AF6"/>
    <w:rsid w:val="009446A3"/>
    <w:rsid w:val="009F2606"/>
    <w:rsid w:val="00A25A5D"/>
    <w:rsid w:val="00A9514A"/>
    <w:rsid w:val="00C51B38"/>
    <w:rsid w:val="00DC4CEB"/>
    <w:rsid w:val="00E23599"/>
    <w:rsid w:val="00EC7347"/>
    <w:rsid w:val="00ED59B9"/>
    <w:rsid w:val="00EE1D45"/>
    <w:rsid w:val="00EE3836"/>
    <w:rsid w:val="00F1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3FF00-8F7B-4FC8-A936-CB70EFB8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22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1D45"/>
    <w:rPr>
      <w:color w:val="0000FF"/>
      <w:u w:val="single"/>
    </w:rPr>
  </w:style>
  <w:style w:type="character" w:customStyle="1" w:styleId="cite-bracket">
    <w:name w:val="cite-bracket"/>
    <w:basedOn w:val="DefaultParagraphFont"/>
    <w:rsid w:val="00EE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7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mercial_bank" TargetMode="Externa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gos_State" TargetMode="Externa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ictoria_Island,_Lagos" TargetMode="External"/><Relationship Id="rId11" Type="http://schemas.openxmlformats.org/officeDocument/2006/relationships/hyperlink" Target="https://en.wikipedia.org/wiki/London_Stock_Exchange" TargetMode="External"/><Relationship Id="rId5" Type="http://schemas.openxmlformats.org/officeDocument/2006/relationships/hyperlink" Target="https://en.wikipedia.org/wiki/Nigeria" TargetMode="External"/><Relationship Id="rId15" Type="http://schemas.openxmlformats.org/officeDocument/2006/relationships/chart" Target="charts/chart4.xml"/><Relationship Id="rId10" Type="http://schemas.openxmlformats.org/officeDocument/2006/relationships/hyperlink" Target="https://en.wikipedia.org/wiki/Nigeria_Stock_Exchang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entral_Bank_of_Nigeria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analysis'!$A$17</c:f>
              <c:strCache>
                <c:ptCount val="1"/>
                <c:pt idx="0">
                  <c:v>Diluted Net Income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analysis'!$B$1:$I$1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analysis'!$B$17:$I$17</c:f>
              <c:numCache>
                <c:formatCode>_(* #,##0_);_(* \(#,##0\);_(* "-"??_);_(@_)</c:formatCode>
                <c:ptCount val="8"/>
                <c:pt idx="0">
                  <c:v>244402</c:v>
                </c:pt>
                <c:pt idx="1">
                  <c:v>224050</c:v>
                </c:pt>
                <c:pt idx="2">
                  <c:v>676569</c:v>
                </c:pt>
                <c:pt idx="3">
                  <c:v>852266.2</c:v>
                </c:pt>
                <c:pt idx="4">
                  <c:v>1027963.3999999999</c:v>
                </c:pt>
                <c:pt idx="5">
                  <c:v>1203660.6000000001</c:v>
                </c:pt>
                <c:pt idx="6">
                  <c:v>1379357.8000000003</c:v>
                </c:pt>
                <c:pt idx="7">
                  <c:v>1555055.0000000005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030928"/>
        <c:axId val="355031320"/>
      </c:lineChart>
      <c:dateAx>
        <c:axId val="35503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 Year</a:t>
                </a:r>
              </a:p>
            </c:rich>
          </c:tx>
          <c:layout>
            <c:manualLayout>
              <c:xMode val="edge"/>
              <c:yMode val="edge"/>
              <c:x val="0.4407161024974971"/>
              <c:y val="0.89176675369886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31320"/>
        <c:crosses val="autoZero"/>
        <c:auto val="1"/>
        <c:lblOffset val="100"/>
        <c:baseTimeUnit val="years"/>
      </c:dateAx>
      <c:valAx>
        <c:axId val="355031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Diluted Net Income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3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analysis'!$A$33</c:f>
              <c:strCache>
                <c:ptCount val="1"/>
                <c:pt idx="0">
                  <c:v>Total Assets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analysis'!$B$23:$I$23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analysis'!$B$33:$I$33</c:f>
              <c:numCache>
                <c:formatCode>_(* #,##0_);_(* \(#,##0\);_(* "-"??_);_(@_)</c:formatCode>
                <c:ptCount val="8"/>
                <c:pt idx="0">
                  <c:v>9447843</c:v>
                </c:pt>
                <c:pt idx="1">
                  <c:v>12285629</c:v>
                </c:pt>
                <c:pt idx="2">
                  <c:v>20368455</c:v>
                </c:pt>
                <c:pt idx="3">
                  <c:v>25516221.600000001</c:v>
                </c:pt>
                <c:pt idx="4">
                  <c:v>30474097.199999999</c:v>
                </c:pt>
                <c:pt idx="5">
                  <c:v>35242081.600000001</c:v>
                </c:pt>
                <c:pt idx="6">
                  <c:v>39820175.400000006</c:v>
                </c:pt>
                <c:pt idx="7">
                  <c:v>44208377.600000001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025832"/>
        <c:axId val="355026224"/>
      </c:lineChart>
      <c:dateAx>
        <c:axId val="355025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</a:t>
                </a:r>
                <a:r>
                  <a:rPr lang="en-US" sz="1400" b="1" baseline="0"/>
                  <a:t> Year</a:t>
                </a:r>
                <a:endParaRPr lang="en-US" sz="1400" b="1"/>
              </a:p>
            </c:rich>
          </c:tx>
          <c:layout>
            <c:manualLayout>
              <c:xMode val="edge"/>
              <c:yMode val="edge"/>
              <c:x val="0.42447852617148973"/>
              <c:y val="0.895845896147403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26224"/>
        <c:crosses val="autoZero"/>
        <c:auto val="1"/>
        <c:lblOffset val="100"/>
        <c:baseTimeUnit val="years"/>
      </c:dateAx>
      <c:valAx>
        <c:axId val="35502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Assets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25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analysis'!$A$47</c:f>
              <c:strCache>
                <c:ptCount val="1"/>
                <c:pt idx="0">
                  <c:v>Total Equity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analysis'!$B$23:$I$23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analysis'!$B$47:$I$47</c:f>
              <c:numCache>
                <c:formatCode>_(* #,##0_);_(* \(#,##0\);_(* "-"??_);_(@_)</c:formatCode>
                <c:ptCount val="8"/>
                <c:pt idx="0">
                  <c:v>1278518</c:v>
                </c:pt>
                <c:pt idx="1">
                  <c:v>1378127</c:v>
                </c:pt>
                <c:pt idx="2">
                  <c:v>2321752</c:v>
                </c:pt>
                <c:pt idx="3">
                  <c:v>2818550.6</c:v>
                </c:pt>
                <c:pt idx="4">
                  <c:v>3315349.2</c:v>
                </c:pt>
                <c:pt idx="5">
                  <c:v>3812147.8000000003</c:v>
                </c:pt>
                <c:pt idx="6">
                  <c:v>4308946.4000000004</c:v>
                </c:pt>
                <c:pt idx="7">
                  <c:v>4805745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029360"/>
        <c:axId val="355032496"/>
      </c:lineChart>
      <c:dateAx>
        <c:axId val="35502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 Year</a:t>
                </a:r>
              </a:p>
            </c:rich>
          </c:tx>
          <c:layout>
            <c:manualLayout>
              <c:xMode val="edge"/>
              <c:yMode val="edge"/>
              <c:x val="0.43558633589872781"/>
              <c:y val="0.906914153132250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32496"/>
        <c:crosses val="autoZero"/>
        <c:auto val="1"/>
        <c:lblOffset val="100"/>
        <c:baseTimeUnit val="years"/>
      </c:dateAx>
      <c:valAx>
        <c:axId val="35503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Equity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29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analysis'!$A$48</c:f>
              <c:strCache>
                <c:ptCount val="1"/>
                <c:pt idx="0">
                  <c:v>Total Liabilities &amp; Shareholders' Equity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analysis'!$B$23:$I$23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analysis'!$B$48:$I$48</c:f>
              <c:numCache>
                <c:formatCode>_(* #,##0_);_(* \(#,##0\);_(* "-"??_);_(@_)</c:formatCode>
                <c:ptCount val="8"/>
                <c:pt idx="0">
                  <c:v>9447843</c:v>
                </c:pt>
                <c:pt idx="1">
                  <c:v>12285629</c:v>
                </c:pt>
                <c:pt idx="2">
                  <c:v>20368455</c:v>
                </c:pt>
                <c:pt idx="3">
                  <c:v>25516221.600000001</c:v>
                </c:pt>
                <c:pt idx="4">
                  <c:v>30474097.199999999</c:v>
                </c:pt>
                <c:pt idx="5">
                  <c:v>35242081.600000001</c:v>
                </c:pt>
                <c:pt idx="6">
                  <c:v>39820175.400000006</c:v>
                </c:pt>
                <c:pt idx="7">
                  <c:v>44208377.600000001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026616"/>
        <c:axId val="355028184"/>
      </c:lineChart>
      <c:dateAx>
        <c:axId val="355026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</a:t>
                </a:r>
                <a:r>
                  <a:rPr lang="en-US" sz="1400" b="1" baseline="0"/>
                  <a:t> Year</a:t>
                </a:r>
                <a:endParaRPr lang="en-US" sz="1400" b="1"/>
              </a:p>
            </c:rich>
          </c:tx>
          <c:layout>
            <c:manualLayout>
              <c:xMode val="edge"/>
              <c:yMode val="edge"/>
              <c:x val="0.41599955436282077"/>
              <c:y val="0.90337218337218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28184"/>
        <c:crosses val="autoZero"/>
        <c:auto val="1"/>
        <c:lblOffset val="100"/>
        <c:baseTimeUnit val="years"/>
      </c:dateAx>
      <c:valAx>
        <c:axId val="355028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Total Liabilities &amp; Shareholders' Equity</a:t>
                </a:r>
              </a:p>
            </c:rich>
          </c:tx>
          <c:layout>
            <c:manualLayout>
              <c:xMode val="edge"/>
              <c:yMode val="edge"/>
              <c:x val="1.1652101539741989E-2"/>
              <c:y val="0.108329570691775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26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analysis'!$A$59</c:f>
              <c:strCache>
                <c:ptCount val="1"/>
                <c:pt idx="0">
                  <c:v>Cash from Operating Activities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analysis'!$B$53:$I$53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analysis'!$B$59:$I$59</c:f>
              <c:numCache>
                <c:formatCode>_(* #,##0_);_(* \(#,##0\);_(* "-"??_);_(@_)</c:formatCode>
                <c:ptCount val="8"/>
                <c:pt idx="0">
                  <c:v>386185</c:v>
                </c:pt>
                <c:pt idx="1">
                  <c:v>1179122</c:v>
                </c:pt>
                <c:pt idx="2">
                  <c:v>1786545</c:v>
                </c:pt>
                <c:pt idx="3">
                  <c:v>2462744</c:v>
                </c:pt>
                <c:pt idx="4">
                  <c:v>3138943</c:v>
                </c:pt>
                <c:pt idx="5">
                  <c:v>3815142</c:v>
                </c:pt>
                <c:pt idx="6">
                  <c:v>4491341</c:v>
                </c:pt>
                <c:pt idx="7">
                  <c:v>5167540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025440"/>
        <c:axId val="355028576"/>
      </c:lineChart>
      <c:dateAx>
        <c:axId val="355025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</a:t>
                </a:r>
                <a:r>
                  <a:rPr lang="en-US" sz="1400" b="1" baseline="0"/>
                  <a:t> Year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28576"/>
        <c:crosses val="autoZero"/>
        <c:auto val="1"/>
        <c:lblOffset val="100"/>
        <c:baseTimeUnit val="years"/>
      </c:dateAx>
      <c:valAx>
        <c:axId val="35502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Cash</a:t>
                </a:r>
                <a:r>
                  <a:rPr lang="en-US" sz="1400" b="1" baseline="0"/>
                  <a:t> from Operating Activities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25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analysis'!$A$62</c:f>
              <c:strCache>
                <c:ptCount val="1"/>
                <c:pt idx="0">
                  <c:v>Cash from Investing Activities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analysis'!$B$53:$I$53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analysis'!$B$62:$I$62</c:f>
              <c:numCache>
                <c:formatCode>_(* #,##0_);_(* \(#,##0\);_(* "-"??_);_(@_)</c:formatCode>
                <c:ptCount val="8"/>
                <c:pt idx="0">
                  <c:v>-239884</c:v>
                </c:pt>
                <c:pt idx="1">
                  <c:v>-363232</c:v>
                </c:pt>
                <c:pt idx="2">
                  <c:v>-1395437</c:v>
                </c:pt>
                <c:pt idx="3">
                  <c:v>-1944949.6</c:v>
                </c:pt>
                <c:pt idx="4">
                  <c:v>-2494462.2000000002</c:v>
                </c:pt>
                <c:pt idx="5">
                  <c:v>-3043974.8000000003</c:v>
                </c:pt>
                <c:pt idx="6">
                  <c:v>-3593487.4000000004</c:v>
                </c:pt>
                <c:pt idx="7">
                  <c:v>-4143000.0000000005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5027400"/>
        <c:axId val="355027792"/>
      </c:lineChart>
      <c:dateAx>
        <c:axId val="355027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</a:t>
                </a:r>
                <a:r>
                  <a:rPr lang="en-US" sz="1400" b="1" baseline="0"/>
                  <a:t> Year</a:t>
                </a:r>
                <a:endParaRPr 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27792"/>
        <c:crosses val="autoZero"/>
        <c:auto val="1"/>
        <c:lblOffset val="100"/>
        <c:baseTimeUnit val="years"/>
      </c:dateAx>
      <c:valAx>
        <c:axId val="35502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Cash from investing Activities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027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'Zenith bank analysis'!$A$66</c:f>
              <c:strCache>
                <c:ptCount val="1"/>
                <c:pt idx="0">
                  <c:v>Cash from Financing Activities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'Zenith bank analysis'!$B$53:$I$53</c:f>
              <c:numCache>
                <c:formatCode>d\-mmm\-yy</c:formatCode>
                <c:ptCount val="8"/>
                <c:pt idx="0">
                  <c:v>44560</c:v>
                </c:pt>
                <c:pt idx="1">
                  <c:v>44925</c:v>
                </c:pt>
                <c:pt idx="2">
                  <c:v>45290</c:v>
                </c:pt>
                <c:pt idx="3">
                  <c:v>45656</c:v>
                </c:pt>
                <c:pt idx="4">
                  <c:v>46021</c:v>
                </c:pt>
                <c:pt idx="5">
                  <c:v>46386</c:v>
                </c:pt>
                <c:pt idx="6">
                  <c:v>46751</c:v>
                </c:pt>
                <c:pt idx="7">
                  <c:v>47117</c:v>
                </c:pt>
              </c:numCache>
            </c:numRef>
          </c:cat>
          <c:val>
            <c:numRef>
              <c:f>'Zenith bank analysis'!$B$66:$I$66</c:f>
              <c:numCache>
                <c:formatCode>_(* #,##0_);_(* \(#,##0\);_(* "-"??_);_(@_)</c:formatCode>
                <c:ptCount val="8"/>
                <c:pt idx="0">
                  <c:v>-262648</c:v>
                </c:pt>
                <c:pt idx="1">
                  <c:v>-97606</c:v>
                </c:pt>
                <c:pt idx="2">
                  <c:v>-576810</c:v>
                </c:pt>
                <c:pt idx="3">
                  <c:v>-803130.4</c:v>
                </c:pt>
                <c:pt idx="4">
                  <c:v>-1029450.8</c:v>
                </c:pt>
                <c:pt idx="5">
                  <c:v>-1255771.2</c:v>
                </c:pt>
                <c:pt idx="6">
                  <c:v>-1482091.6</c:v>
                </c:pt>
                <c:pt idx="7">
                  <c:v>-1708412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930560"/>
        <c:axId val="321930952"/>
      </c:lineChart>
      <c:dateAx>
        <c:axId val="32193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Financial Year</a:t>
                </a:r>
              </a:p>
            </c:rich>
          </c:tx>
          <c:layout>
            <c:manualLayout>
              <c:xMode val="edge"/>
              <c:yMode val="edge"/>
              <c:x val="0.42306159295631124"/>
              <c:y val="0.922740569668976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930952"/>
        <c:crosses val="autoZero"/>
        <c:auto val="1"/>
        <c:lblOffset val="100"/>
        <c:baseTimeUnit val="years"/>
      </c:dateAx>
      <c:valAx>
        <c:axId val="32193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Cash from Financing Activities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930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B126C-6FD1-4C3F-8D5C-8170AD80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2024-09-06T09:54:00Z</dcterms:created>
  <dcterms:modified xsi:type="dcterms:W3CDTF">2024-09-12T19:26:00Z</dcterms:modified>
</cp:coreProperties>
</file>