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540"/>
      </w:tblGrid>
      <w:tr>
        <w:tc>
          <w:tcPr>
            <w:tcW w:type="dxa" w:w="10540"/>
            <w:shd w:val="clear" w:color="auto" w:fill="1f386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90" w:type="dxa"/>
              <w:bottom w:w="90" w:type="dxa"/>
              <w:left w:w="220" w:type="dxa"/>
              <w:right w:w="220" w:type="dxa"/>
            </w:tcMar>
          </w:tcPr>
          <w:p>
            <w:pPr>
              <w:spacing w:before="0" w:after="60"/>
              <w:jc w:val="center"/>
            </w:pPr>
            <w:r>
              <w:rPr>
                <w:b/>
                <w:color w:val="ADB5BD"/>
                <w:sz w:val="14"/>
              </w:rPr>
              <w:t>■  TECHNICAL BRIEF  ■</w:t>
            </w:r>
          </w:p>
          <w:p>
            <w:pPr>
              <w:spacing w:before="0" w:after="60"/>
              <w:jc w:val="center"/>
            </w:pPr>
            <w:r>
              <w:rPr>
                <w:b/>
                <w:color w:val="FFFFFF"/>
                <w:sz w:val="28"/>
              </w:rPr>
              <w:t>Evaluating the Performance of Gated Recurrent Units</w:t>
              <w:br/>
              <w:t>for Multi-Parameter Weather Forecasting</w:t>
            </w:r>
          </w:p>
          <w:p>
            <w:pPr>
              <w:spacing w:before="0" w:after="0"/>
              <w:jc w:val="center"/>
            </w:pPr>
            <w:r>
              <w:rPr>
                <w:color w:val="ADC8E0"/>
                <w:sz w:val="16"/>
              </w:rPr>
              <w:t>University of the Cordilleras  ·  College of CITCS  ·  B.S. Computer Science  ·  Castro, E. M.  ·  Millan, D. J. S.  ·  Mondoñedo, J. E.</w:t>
            </w:r>
          </w:p>
        </w:tc>
      </w:tr>
    </w:tbl>
    <w:p>
      <w:pPr>
        <w:spacing w:before="0" w:after="0"/>
        <w:rPr>
          <w:sz w:val="2"/>
          <w:szCs w:val="2"/>
        </w:rPr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shd w:val="clear" w:color="auto" w:fill="2471a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20"/>
              <w:jc w:val="center"/>
            </w:pPr>
            <w:r>
              <w:rPr>
                <w:b/>
                <w:color w:val="FFFFFF"/>
                <w:sz w:val="38"/>
              </w:rPr>
              <w:t>5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D6EAF8"/>
                <w:sz w:val="13"/>
              </w:rPr>
              <w:t>MODELS</w:t>
              <w:br/>
              <w:t>EVALUATED</w:t>
            </w:r>
          </w:p>
        </w:tc>
        <w:tc>
          <w:tcPr>
            <w:tcW w:type="dxa" w:w="2635"/>
            <w:shd w:val="clear" w:color="auto" w:fill="1a7a4a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20"/>
              <w:jc w:val="center"/>
            </w:pPr>
            <w:r>
              <w:rPr>
                <w:b/>
                <w:color w:val="FFFFFF"/>
                <w:sz w:val="38"/>
              </w:rPr>
              <w:t>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D6EAF8"/>
                <w:sz w:val="13"/>
              </w:rPr>
              <w:t>WEATHER</w:t>
              <w:br/>
              <w:t>VARIABLES</w:t>
            </w:r>
          </w:p>
        </w:tc>
        <w:tc>
          <w:tcPr>
            <w:tcW w:type="dxa" w:w="2635"/>
            <w:shd w:val="clear" w:color="auto" w:fill="7d3c98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20"/>
              <w:jc w:val="center"/>
            </w:pPr>
            <w:r>
              <w:rPr>
                <w:b/>
                <w:color w:val="FFFFFF"/>
                <w:sz w:val="38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D6EAF8"/>
                <w:sz w:val="13"/>
              </w:rPr>
              <w:t>WEATHER</w:t>
              <w:br/>
              <w:t>STATIONS</w:t>
            </w:r>
          </w:p>
        </w:tc>
        <w:tc>
          <w:tcPr>
            <w:tcW w:type="dxa" w:w="2635"/>
            <w:shd w:val="clear" w:color="auto" w:fill="c0392b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20"/>
              <w:jc w:val="center"/>
            </w:pPr>
            <w:r>
              <w:rPr>
                <w:b/>
                <w:color w:val="FFFFFF"/>
                <w:sz w:val="38"/>
              </w:rPr>
              <w:t>5+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D6EAF8"/>
                <w:sz w:val="13"/>
              </w:rPr>
              <w:t>YEARS OF</w:t>
              <w:br/>
              <w:t>TRAINING DATA</w:t>
            </w:r>
          </w:p>
        </w:tc>
      </w:tr>
    </w:tbl>
    <w:p>
      <w:pPr>
        <w:spacing w:before="0" w:after="0"/>
        <w:rPr>
          <w:sz w:val="2"/>
          <w:szCs w:val="2"/>
        </w:rPr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13"/>
        <w:gridCol w:w="369"/>
        <w:gridCol w:w="1813"/>
        <w:gridCol w:w="369"/>
        <w:gridCol w:w="1813"/>
        <w:gridCol w:w="369"/>
        <w:gridCol w:w="1813"/>
        <w:gridCol w:w="369"/>
        <w:gridCol w:w="1813"/>
      </w:tblGrid>
      <w:tr>
        <w:tc>
          <w:tcPr>
            <w:tcW w:type="dxa" w:w="1171"/>
            <w:shd w:val="clear" w:color="auto" w:fill="15436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spacing w:before="0" w:after="20"/>
              <w:jc w:val="center"/>
            </w:pPr>
            <w:r>
              <w:rPr>
                <w:b/>
                <w:color w:val="FFFFFF"/>
                <w:sz w:val="15"/>
              </w:rPr>
              <w:t>DATA</w:t>
            </w:r>
          </w:p>
          <w:p>
            <w:pPr>
              <w:spacing w:before="0" w:after="0"/>
              <w:jc w:val="center"/>
            </w:pPr>
            <w:r>
              <w:rPr>
                <w:i/>
                <w:color w:val="ADC8E0"/>
                <w:sz w:val="12"/>
              </w:rPr>
              <w:t>Meteostat API</w:t>
            </w:r>
          </w:p>
        </w:tc>
        <w:tc>
          <w:tcPr>
            <w:tcW w:type="dxa" w:w="1171"/>
            <w:shd w:val="clear" w:color="auto" w:fill="d5d8dc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" w:type="dxa"/>
              <w:right w:w="5" w:type="dxa"/>
            </w:tcMar>
          </w:tcPr>
          <w:p>
            <w:pPr>
              <w:spacing w:before="200" w:after="0"/>
              <w:jc w:val="center"/>
            </w:pPr>
            <w:r>
              <w:rPr>
                <w:color w:val="7F8C8D"/>
                <w:sz w:val="16"/>
              </w:rPr>
              <w:t>▶</w:t>
            </w:r>
          </w:p>
        </w:tc>
        <w:tc>
          <w:tcPr>
            <w:tcW w:type="dxa" w:w="1171"/>
            <w:shd w:val="clear" w:color="auto" w:fill="1a5276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spacing w:before="0" w:after="20"/>
              <w:jc w:val="center"/>
            </w:pPr>
            <w:r>
              <w:rPr>
                <w:b/>
                <w:color w:val="FFFFFF"/>
                <w:sz w:val="15"/>
              </w:rPr>
              <w:t>PREPROCESS</w:t>
            </w:r>
          </w:p>
          <w:p>
            <w:pPr>
              <w:spacing w:before="0" w:after="0"/>
              <w:jc w:val="center"/>
            </w:pPr>
            <w:r>
              <w:rPr>
                <w:i/>
                <w:color w:val="ADC8E0"/>
                <w:sz w:val="12"/>
              </w:rPr>
              <w:t>Clean · Scale · IQR</w:t>
            </w:r>
          </w:p>
        </w:tc>
        <w:tc>
          <w:tcPr>
            <w:tcW w:type="dxa" w:w="1171"/>
            <w:shd w:val="clear" w:color="auto" w:fill="d5d8dc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" w:type="dxa"/>
              <w:right w:w="5" w:type="dxa"/>
            </w:tcMar>
          </w:tcPr>
          <w:p>
            <w:pPr>
              <w:spacing w:before="200" w:after="0"/>
              <w:jc w:val="center"/>
            </w:pPr>
            <w:r>
              <w:rPr>
                <w:color w:val="7F8C8D"/>
                <w:sz w:val="16"/>
              </w:rPr>
              <w:t>▶</w:t>
            </w:r>
          </w:p>
        </w:tc>
        <w:tc>
          <w:tcPr>
            <w:tcW w:type="dxa" w:w="1171"/>
            <w:shd w:val="clear" w:color="auto" w:fill="1f386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spacing w:before="0" w:after="20"/>
              <w:jc w:val="center"/>
            </w:pPr>
            <w:r>
              <w:rPr>
                <w:b/>
                <w:color w:val="FFFFFF"/>
                <w:sz w:val="15"/>
              </w:rPr>
              <w:t>MODELS</w:t>
            </w:r>
          </w:p>
          <w:p>
            <w:pPr>
              <w:spacing w:before="0" w:after="0"/>
              <w:jc w:val="center"/>
            </w:pPr>
            <w:r>
              <w:rPr>
                <w:i/>
                <w:color w:val="ADC8E0"/>
                <w:sz w:val="12"/>
              </w:rPr>
              <w:t>GRU·LSTM·RNN·LR·ARIMA</w:t>
            </w:r>
          </w:p>
        </w:tc>
        <w:tc>
          <w:tcPr>
            <w:tcW w:type="dxa" w:w="1171"/>
            <w:shd w:val="clear" w:color="auto" w:fill="d5d8dc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" w:type="dxa"/>
              <w:right w:w="5" w:type="dxa"/>
            </w:tcMar>
          </w:tcPr>
          <w:p>
            <w:pPr>
              <w:spacing w:before="200" w:after="0"/>
              <w:jc w:val="center"/>
            </w:pPr>
            <w:r>
              <w:rPr>
                <w:color w:val="7F8C8D"/>
                <w:sz w:val="16"/>
              </w:rPr>
              <w:t>▶</w:t>
            </w:r>
          </w:p>
        </w:tc>
        <w:tc>
          <w:tcPr>
            <w:tcW w:type="dxa" w:w="1171"/>
            <w:shd w:val="clear" w:color="auto" w:fill="4a235a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spacing w:before="0" w:after="20"/>
              <w:jc w:val="center"/>
            </w:pPr>
            <w:r>
              <w:rPr>
                <w:b/>
                <w:color w:val="FFFFFF"/>
                <w:sz w:val="15"/>
              </w:rPr>
              <w:t>EVALUATE</w:t>
            </w:r>
          </w:p>
          <w:p>
            <w:pPr>
              <w:spacing w:before="0" w:after="0"/>
              <w:jc w:val="center"/>
            </w:pPr>
            <w:r>
              <w:rPr>
                <w:i/>
                <w:color w:val="ADC8E0"/>
                <w:sz w:val="12"/>
              </w:rPr>
              <w:t>MSE · MAE · R² · Acc</w:t>
            </w:r>
          </w:p>
        </w:tc>
        <w:tc>
          <w:tcPr>
            <w:tcW w:type="dxa" w:w="1171"/>
            <w:shd w:val="clear" w:color="auto" w:fill="d5d8dc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5" w:type="dxa"/>
              <w:right w:w="5" w:type="dxa"/>
            </w:tcMar>
          </w:tcPr>
          <w:p>
            <w:pPr>
              <w:spacing w:before="200" w:after="0"/>
              <w:jc w:val="center"/>
            </w:pPr>
            <w:r>
              <w:rPr>
                <w:color w:val="7F8C8D"/>
                <w:sz w:val="16"/>
              </w:rPr>
              <w:t>▶</w:t>
            </w:r>
          </w:p>
        </w:tc>
        <w:tc>
          <w:tcPr>
            <w:tcW w:type="dxa" w:w="1171"/>
            <w:shd w:val="clear" w:color="auto" w:fill="145a32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spacing w:before="0" w:after="20"/>
              <w:jc w:val="center"/>
            </w:pPr>
            <w:r>
              <w:rPr>
                <w:b/>
                <w:color w:val="FFFFFF"/>
                <w:sz w:val="15"/>
              </w:rPr>
              <w:t>FORECAST</w:t>
            </w:r>
          </w:p>
          <w:p>
            <w:pPr>
              <w:spacing w:before="0" w:after="0"/>
              <w:jc w:val="center"/>
            </w:pPr>
            <w:r>
              <w:rPr>
                <w:i/>
                <w:color w:val="ADC8E0"/>
                <w:sz w:val="12"/>
              </w:rPr>
              <w:t>7-Day Rolling</w:t>
            </w:r>
          </w:p>
        </w:tc>
      </w:tr>
    </w:tbl>
    <w:p>
      <w:pPr>
        <w:spacing w:before="0" w:after="0"/>
        <w:rPr>
          <w:sz w:val="2"/>
          <w:szCs w:val="2"/>
        </w:rPr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59"/>
        <w:gridCol w:w="5380"/>
      </w:tblGrid>
      <w:tr>
        <w:tc>
          <w:tcPr>
            <w:tcW w:type="dxa" w:w="527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Borders>
              <w:right w:val="single" w:sz="6" w:space="0" w:color="bdc3c7"/>
            </w:tcBorders>
            <w:tcMar>
              <w:top w:w="50" w:type="dxa"/>
              <w:bottom w:w="50" w:type="dxa"/>
              <w:left w:w="50" w:type="dxa"/>
              <w:right w:w="140" w:type="dxa"/>
            </w:tcMar>
          </w:tcPr>
          <w:p/>
          <w:p>
            <w:pPr>
              <w:spacing w:before="0" w:after="40"/>
            </w:pPr>
            <w:r>
              <w:rPr>
                <w:b/>
                <w:color w:val="1F3864"/>
                <w:sz w:val="17"/>
              </w:rPr>
              <w:t>●  OVERVIEW</w:t>
            </w:r>
          </w:p>
          <w:p>
            <w:pPr>
              <w:spacing w:before="0" w:after="40"/>
            </w:pPr>
            <w:r>
              <w:rPr>
                <w:sz w:val="17"/>
              </w:rPr>
              <w:t>A web-based benchmarking platform that fetches real daily weather data from Meteostat and evaluates five machine learning models for multi-variable weather forecasting across two Philippine stations.</w:t>
            </w:r>
          </w:p>
          <w:p>
            <w:pPr>
              <w:spacing w:before="120" w:after="40"/>
            </w:pPr>
            <w:r>
              <w:rPr>
                <w:b/>
                <w:color w:val="1F3864"/>
                <w:sz w:val="17"/>
              </w:rPr>
              <w:t>●  PROBLEM STATEMENT</w:t>
            </w:r>
          </w:p>
          <w:p>
            <w:pPr>
              <w:spacing w:before="0" w:after="40"/>
            </w:pPr>
            <w:r>
              <w:rPr>
                <w:sz w:val="17"/>
              </w:rPr>
              <w:t>Philippine weather forecasting relies on general-purpose models not specifically benchmarked on local station data. This study measures whether GRU outperforms alternative deep learning and statistical approaches on four meteorological variables.</w:t>
            </w:r>
          </w:p>
          <w:p>
            <w:pPr>
              <w:spacing w:before="120" w:after="40"/>
            </w:pPr>
            <w:r>
              <w:rPr>
                <w:b/>
                <w:color w:val="1F3864"/>
                <w:sz w:val="17"/>
              </w:rPr>
              <w:t>●  TARGET VARIABLES</w:t>
            </w:r>
          </w:p>
          <w:p>
            <w:pPr>
              <w:pStyle w:val="ListBullet"/>
              <w:spacing w:before="0" w:after="20"/>
            </w:pPr>
            <w:r>
              <w:rPr>
                <w:sz w:val="17"/>
              </w:rPr>
              <w:t>Precipitation (prcp)  —  daily rainfall, mm</w:t>
            </w:r>
          </w:p>
          <w:p>
            <w:pPr>
              <w:pStyle w:val="ListBullet"/>
              <w:spacing w:before="0" w:after="20"/>
            </w:pPr>
            <w:r>
              <w:rPr>
                <w:sz w:val="17"/>
              </w:rPr>
              <w:t>Temperature (tavg)     —  average daily temp, °C</w:t>
            </w:r>
          </w:p>
          <w:p>
            <w:pPr>
              <w:pStyle w:val="ListBullet"/>
              <w:spacing w:before="0" w:after="20"/>
            </w:pPr>
            <w:r>
              <w:rPr>
                <w:sz w:val="17"/>
              </w:rPr>
              <w:t>Wind Speed (wspd)     —  average wind speed, km/h</w:t>
            </w:r>
          </w:p>
          <w:p>
            <w:pPr>
              <w:pStyle w:val="ListBullet"/>
              <w:spacing w:before="0" w:after="20"/>
            </w:pPr>
            <w:r>
              <w:rPr>
                <w:sz w:val="17"/>
              </w:rPr>
              <w:t>Pressure (pres)          —  sea-level pressure, hPa</w:t>
            </w:r>
          </w:p>
          <w:p>
            <w:pPr>
              <w:spacing w:before="120" w:after="40"/>
            </w:pPr>
            <w:r>
              <w:rPr>
                <w:b/>
                <w:color w:val="1F3864"/>
                <w:sz w:val="17"/>
              </w:rPr>
              <w:t>●  STATIONS COVERED</w:t>
            </w:r>
          </w:p>
          <w:p>
            <w:pPr>
              <w:pStyle w:val="ListBullet"/>
              <w:spacing w:before="0" w:after="20"/>
            </w:pPr>
            <w:r>
              <w:rPr>
                <w:sz w:val="17"/>
              </w:rPr>
              <w:t>Baguio City  (Meteostat Station ID: 98328)</w:t>
            </w:r>
          </w:p>
          <w:p>
            <w:pPr>
              <w:pStyle w:val="ListBullet"/>
              <w:spacing w:before="0" w:after="20"/>
            </w:pPr>
            <w:r>
              <w:rPr>
                <w:sz w:val="17"/>
              </w:rPr>
              <w:t>Manila           (Meteostat Station ID: 98425)</w:t>
            </w:r>
          </w:p>
          <w:p>
            <w:pPr>
              <w:spacing w:before="120" w:after="40"/>
            </w:pPr>
            <w:r>
              <w:rPr>
                <w:b/>
                <w:color w:val="1F3864"/>
                <w:sz w:val="17"/>
              </w:rPr>
              <w:t>●  DATA PERIOD</w:t>
            </w:r>
          </w:p>
          <w:p>
            <w:pPr>
              <w:spacing w:before="0" w:after="40"/>
            </w:pPr>
            <w:r>
              <w:rPr>
                <w:sz w:val="17"/>
              </w:rPr>
              <w:t>Meteostat Open Weather API  ·  January 1, 2020 — Present (dynamic)</w:t>
            </w:r>
          </w:p>
          <w:p>
            <w:pPr>
              <w:spacing w:before="120" w:after="40"/>
            </w:pPr>
            <w:r>
              <w:rPr>
                <w:b/>
                <w:color w:val="1F3864"/>
                <w:sz w:val="17"/>
              </w:rPr>
              <w:t>●  METHODOLOGY</w:t>
            </w:r>
          </w:p>
          <w:p>
            <w:pPr>
              <w:spacing w:before="0" w:after="0"/>
            </w:pPr>
            <w:r>
              <w:rPr>
                <w:sz w:val="17"/>
              </w:rPr>
              <w:t>Data cleaned via IQR outlier removal and MinMax scaling. Deep learning models use sliding-window sequences (seq_len=45) with early stopping (patience=30). A Variable Importance page runs leave-one-out ablation across all 4 targets × both stations to guide variable selection from all 10 Meteostat inputs.</w:t>
            </w:r>
          </w:p>
        </w:tc>
        <w:tc>
          <w:tcPr>
            <w:tcW w:type="dxa" w:w="527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0" w:type="dxa"/>
              <w:bottom w:w="50" w:type="dxa"/>
              <w:left w:w="140" w:type="dxa"/>
              <w:right w:w="50" w:type="dxa"/>
            </w:tcMar>
          </w:tcPr>
          <w:p/>
          <w:p>
            <w:pPr>
              <w:spacing w:before="0" w:after="40"/>
            </w:pPr>
            <w:r>
              <w:rPr>
                <w:b/>
                <w:color w:val="1F3864"/>
                <w:sz w:val="17"/>
              </w:rPr>
              <w:t>●  MODELS COMPARED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76"/>
              <w:gridCol w:w="1076"/>
              <w:gridCol w:w="1076"/>
              <w:gridCol w:w="1076"/>
              <w:gridCol w:w="1076"/>
            </w:tblGrid>
            <w:tr>
              <w:tc>
                <w:tcPr>
                  <w:tcW w:type="dxa" w:w="1054"/>
                  <w:shd w:val="clear" w:color="auto" w:fill="1f77b4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45" w:type="dxa"/>
                    <w:bottom w:w="45" w:type="dxa"/>
                    <w:left w:w="40" w:type="dxa"/>
                    <w:right w:w="4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color w:val="FFFFFF"/>
                      <w:sz w:val="15"/>
                    </w:rPr>
                    <w:t>GRU</w:t>
                  </w:r>
                </w:p>
              </w:tc>
              <w:tc>
                <w:tcPr>
                  <w:tcW w:type="dxa" w:w="1054"/>
                  <w:shd w:val="clear" w:color="auto" w:fill="ff7f0e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45" w:type="dxa"/>
                    <w:bottom w:w="45" w:type="dxa"/>
                    <w:left w:w="40" w:type="dxa"/>
                    <w:right w:w="4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color w:val="FFFFFF"/>
                      <w:sz w:val="15"/>
                    </w:rPr>
                    <w:t>LSTM</w:t>
                  </w:r>
                </w:p>
              </w:tc>
              <w:tc>
                <w:tcPr>
                  <w:tcW w:type="dxa" w:w="1054"/>
                  <w:shd w:val="clear" w:color="auto" w:fill="2ca02c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45" w:type="dxa"/>
                    <w:bottom w:w="45" w:type="dxa"/>
                    <w:left w:w="40" w:type="dxa"/>
                    <w:right w:w="4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color w:val="FFFFFF"/>
                      <w:sz w:val="15"/>
                    </w:rPr>
                    <w:t>SimpleRNN</w:t>
                  </w:r>
                </w:p>
              </w:tc>
              <w:tc>
                <w:tcPr>
                  <w:tcW w:type="dxa" w:w="1054"/>
                  <w:shd w:val="clear" w:color="auto" w:fill="d62728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45" w:type="dxa"/>
                    <w:bottom w:w="45" w:type="dxa"/>
                    <w:left w:w="40" w:type="dxa"/>
                    <w:right w:w="4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color w:val="FFFFFF"/>
                      <w:sz w:val="15"/>
                    </w:rPr>
                    <w:t>Linear Regression</w:t>
                  </w:r>
                </w:p>
              </w:tc>
              <w:tc>
                <w:tcPr>
                  <w:tcW w:type="dxa" w:w="1054"/>
                  <w:shd w:val="clear" w:color="auto" w:fill="9467bd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45" w:type="dxa"/>
                    <w:bottom w:w="45" w:type="dxa"/>
                    <w:left w:w="40" w:type="dxa"/>
                    <w:right w:w="4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color w:val="FFFFFF"/>
                      <w:sz w:val="15"/>
                    </w:rPr>
                    <w:t>ARIMA</w:t>
                  </w:r>
                </w:p>
              </w:tc>
            </w:tr>
          </w:tbl>
          <w:p/>
          <w:p>
            <w:pPr>
              <w:spacing w:before="40" w:after="40"/>
            </w:pPr>
            <w:r>
              <w:rPr>
                <w:i/>
                <w:color w:val="555555"/>
                <w:sz w:val="15"/>
              </w:rPr>
              <w:t>GRU &amp; LSTM: 2-layer Bidirectional, hidden=256, dropout=0.3, seq_len=45, epochs=200</w:t>
              <w:br/>
              <w:t>SimpleRNN: Unidirectional  ·  LR: flattened multivariate  ·  ARIMA: auto_arima (AIC)</w:t>
            </w:r>
          </w:p>
          <w:p>
            <w:pPr>
              <w:spacing w:before="120" w:after="40"/>
            </w:pPr>
            <w:r>
              <w:rPr>
                <w:b/>
                <w:color w:val="1F3864"/>
                <w:sz w:val="17"/>
              </w:rPr>
              <w:t>●  EVALUATION METRICS</w:t>
            </w:r>
          </w:p>
          <w:p>
            <w:pPr>
              <w:pStyle w:val="ListBullet"/>
              <w:spacing w:before="0" w:after="20"/>
            </w:pPr>
            <w:r>
              <w:rPr>
                <w:sz w:val="17"/>
              </w:rPr>
              <w:t>Accuracy (%)  =  100 − MAPE</w:t>
            </w:r>
          </w:p>
          <w:p>
            <w:pPr>
              <w:pStyle w:val="ListBullet"/>
              <w:spacing w:before="0" w:after="20"/>
            </w:pPr>
            <w:r>
              <w:rPr>
                <w:sz w:val="17"/>
              </w:rPr>
              <w:t>Mean Squared Error (MSE)</w:t>
            </w:r>
          </w:p>
          <w:p>
            <w:pPr>
              <w:pStyle w:val="ListBullet"/>
              <w:spacing w:before="0" w:after="20"/>
            </w:pPr>
            <w:r>
              <w:rPr>
                <w:sz w:val="17"/>
              </w:rPr>
              <w:t>Mean Absolute Error (MAE)</w:t>
            </w:r>
          </w:p>
          <w:p>
            <w:pPr>
              <w:pStyle w:val="ListBullet"/>
              <w:spacing w:before="0" w:after="20"/>
            </w:pPr>
            <w:r>
              <w:rPr>
                <w:sz w:val="17"/>
              </w:rPr>
              <w:t>Coefficient of Determination (R²)</w:t>
            </w:r>
          </w:p>
          <w:p>
            <w:pPr>
              <w:spacing w:before="120" w:after="40"/>
            </w:pPr>
            <w:r>
              <w:rPr>
                <w:b/>
                <w:color w:val="1F3864"/>
                <w:sz w:val="17"/>
              </w:rPr>
              <w:t>●  TECHNOLOGY STACK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701"/>
              <w:gridCol w:w="3679"/>
            </w:tblGrid>
            <w:tr>
              <w:tc>
                <w:tcPr>
                  <w:tcW w:type="dxa" w:w="2635"/>
                  <w:shd w:val="clear" w:color="auto" w:fill="eaf0fb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80" w:type="dxa"/>
                    <w:right w:w="40" w:type="dxa"/>
                  </w:tcMar>
                </w:tcPr>
                <w:p>
                  <w:r>
                    <w:rPr>
                      <w:b/>
                      <w:sz w:val="16"/>
                    </w:rPr>
                    <w:t>Language</w:t>
                  </w:r>
                </w:p>
              </w:tc>
              <w:tc>
                <w:tcPr>
                  <w:tcW w:type="dxa" w:w="2635"/>
                  <w:shd w:val="clear" w:color="auto" w:fill="eaf0fb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40" w:type="dxa"/>
                    <w:right w:w="80" w:type="dxa"/>
                  </w:tcMar>
                </w:tcPr>
                <w:p>
                  <w:r>
                    <w:rPr>
                      <w:sz w:val="16"/>
                    </w:rPr>
                    <w:t>Python 3.10+</w:t>
                  </w:r>
                </w:p>
              </w:tc>
            </w:tr>
            <w:tr>
              <w:tc>
                <w:tcPr>
                  <w:tcW w:type="dxa" w:w="2635"/>
                  <w:shd w:val="clear" w:color="auto" w:fill="ffffff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80" w:type="dxa"/>
                    <w:right w:w="40" w:type="dxa"/>
                  </w:tcMar>
                </w:tcPr>
                <w:p>
                  <w:r>
                    <w:rPr>
                      <w:b/>
                      <w:sz w:val="16"/>
                    </w:rPr>
                    <w:t>Deep Learning</w:t>
                  </w:r>
                </w:p>
              </w:tc>
              <w:tc>
                <w:tcPr>
                  <w:tcW w:type="dxa" w:w="2635"/>
                  <w:shd w:val="clear" w:color="auto" w:fill="ffffff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40" w:type="dxa"/>
                    <w:right w:w="80" w:type="dxa"/>
                  </w:tcMar>
                </w:tcPr>
                <w:p>
                  <w:r>
                    <w:rPr>
                      <w:sz w:val="16"/>
                    </w:rPr>
                    <w:t>PyTorch 2.x  (CUDA / MPS / CPU)</w:t>
                  </w:r>
                </w:p>
              </w:tc>
            </w:tr>
            <w:tr>
              <w:tc>
                <w:tcPr>
                  <w:tcW w:type="dxa" w:w="2635"/>
                  <w:shd w:val="clear" w:color="auto" w:fill="eaf0fb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80" w:type="dxa"/>
                    <w:right w:w="40" w:type="dxa"/>
                  </w:tcMar>
                </w:tcPr>
                <w:p>
                  <w:r>
                    <w:rPr>
                      <w:b/>
                      <w:sz w:val="16"/>
                    </w:rPr>
                    <w:t>ARIMA</w:t>
                  </w:r>
                </w:p>
              </w:tc>
              <w:tc>
                <w:tcPr>
                  <w:tcW w:type="dxa" w:w="2635"/>
                  <w:shd w:val="clear" w:color="auto" w:fill="eaf0fb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40" w:type="dxa"/>
                    <w:right w:w="80" w:type="dxa"/>
                  </w:tcMar>
                </w:tcPr>
                <w:p>
                  <w:r>
                    <w:rPr>
                      <w:sz w:val="16"/>
                    </w:rPr>
                    <w:t>pmdarima  auto_arima</w:t>
                  </w:r>
                </w:p>
              </w:tc>
            </w:tr>
            <w:tr>
              <w:tc>
                <w:tcPr>
                  <w:tcW w:type="dxa" w:w="2635"/>
                  <w:shd w:val="clear" w:color="auto" w:fill="ffffff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80" w:type="dxa"/>
                    <w:right w:w="40" w:type="dxa"/>
                  </w:tcMar>
                </w:tcPr>
                <w:p>
                  <w:r>
                    <w:rPr>
                      <w:b/>
                      <w:sz w:val="16"/>
                    </w:rPr>
                    <w:t>Data</w:t>
                  </w:r>
                </w:p>
              </w:tc>
              <w:tc>
                <w:tcPr>
                  <w:tcW w:type="dxa" w:w="2635"/>
                  <w:shd w:val="clear" w:color="auto" w:fill="ffffff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40" w:type="dxa"/>
                    <w:right w:w="80" w:type="dxa"/>
                  </w:tcMar>
                </w:tcPr>
                <w:p>
                  <w:r>
                    <w:rPr>
                      <w:sz w:val="16"/>
                    </w:rPr>
                    <w:t>Meteostat API</w:t>
                  </w:r>
                </w:p>
              </w:tc>
            </w:tr>
            <w:tr>
              <w:tc>
                <w:tcPr>
                  <w:tcW w:type="dxa" w:w="2635"/>
                  <w:shd w:val="clear" w:color="auto" w:fill="eaf0fb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80" w:type="dxa"/>
                    <w:right w:w="40" w:type="dxa"/>
                  </w:tcMar>
                </w:tcPr>
                <w:p>
                  <w:r>
                    <w:rPr>
                      <w:b/>
                      <w:sz w:val="16"/>
                    </w:rPr>
                    <w:t>Preprocessing</w:t>
                  </w:r>
                </w:p>
              </w:tc>
              <w:tc>
                <w:tcPr>
                  <w:tcW w:type="dxa" w:w="2635"/>
                  <w:shd w:val="clear" w:color="auto" w:fill="eaf0fb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40" w:type="dxa"/>
                    <w:right w:w="80" w:type="dxa"/>
                  </w:tcMar>
                </w:tcPr>
                <w:p>
                  <w:r>
                    <w:rPr>
                      <w:sz w:val="16"/>
                    </w:rPr>
                    <w:t>scikit-learn  ·  pandas  ·  NumPy</w:t>
                  </w:r>
                </w:p>
              </w:tc>
            </w:tr>
            <w:tr>
              <w:tc>
                <w:tcPr>
                  <w:tcW w:type="dxa" w:w="2635"/>
                  <w:shd w:val="clear" w:color="auto" w:fill="ffffff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80" w:type="dxa"/>
                    <w:right w:w="40" w:type="dxa"/>
                  </w:tcMar>
                </w:tcPr>
                <w:p>
                  <w:r>
                    <w:rPr>
                      <w:b/>
                      <w:sz w:val="16"/>
                    </w:rPr>
                    <w:t>UI / Plots</w:t>
                  </w:r>
                </w:p>
              </w:tc>
              <w:tc>
                <w:tcPr>
                  <w:tcW w:type="dxa" w:w="2635"/>
                  <w:shd w:val="clear" w:color="auto" w:fill="ffffff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28" w:type="dxa"/>
                    <w:bottom w:w="28" w:type="dxa"/>
                    <w:left w:w="40" w:type="dxa"/>
                    <w:right w:w="80" w:type="dxa"/>
                  </w:tcMar>
                </w:tcPr>
                <w:p>
                  <w:r>
                    <w:rPr>
                      <w:sz w:val="16"/>
                    </w:rPr>
                    <w:t>Streamlit  ·  Matplotlib</w:t>
                  </w:r>
                </w:p>
              </w:tc>
            </w:tr>
          </w:tbl>
          <w:p/>
          <w:p>
            <w:pPr>
              <w:spacing w:before="120" w:after="40"/>
            </w:pPr>
            <w:r>
              <w:rPr>
                <w:b/>
                <w:color w:val="1F3864"/>
                <w:sz w:val="17"/>
              </w:rPr>
              <w:t>●  LIVE DEMO &amp; SOURCE CODE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270"/>
            </w:tblGrid>
            <w:tr>
              <w:tc>
                <w:tcPr>
                  <w:tcW w:type="dxa" w:w="5270"/>
                  <w:shd w:val="clear" w:color="auto" w:fill="eaf0fb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35" w:type="dxa"/>
                    <w:bottom w:w="35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color w:val="1F3864"/>
                      <w:sz w:val="16"/>
                    </w:rPr>
                    <w:t xml:space="preserve">🌐  Live App  </w:t>
                  </w:r>
                  <w:r>
                    <w:rPr>
                      <w:color w:val="2471A3"/>
                      <w:sz w:val="15"/>
                      <w:u w:val="single"/>
                    </w:rPr>
                    <w:t>thesis-gru-evaluation-in-weather-forecasting.streamlit.app</w:t>
                  </w:r>
                </w:p>
              </w:tc>
            </w:tr>
            <w:tr>
              <w:tc>
                <w:tcPr>
                  <w:tcW w:type="dxa" w:w="5270"/>
                  <w:shd w:val="clear" w:color="auto" w:fill="f4f6f7"/>
                  <w:tcBorders>
                    <w:top w:val="none"/>
                    <w:left w:val="none"/>
                    <w:bottom w:val="none"/>
                    <w:right w:val="none"/>
                    <w:insideH w:val="none"/>
                    <w:insideV w:val="none"/>
                  </w:tcBorders>
                  <w:tcMar>
                    <w:top w:w="35" w:type="dxa"/>
                    <w:bottom w:w="35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color w:val="2C3E50"/>
                      <w:sz w:val="16"/>
                    </w:rPr>
                    <w:t xml:space="preserve">💻  Source Code  </w:t>
                  </w:r>
                  <w:r>
                    <w:rPr>
                      <w:color w:val="2471A3"/>
                      <w:sz w:val="15"/>
                      <w:u w:val="single"/>
                    </w:rPr>
                    <w:t>github.com/EzekelCastro/Thesis-GRU-Evaluation-in-Weather-Forecasting</w:t>
                  </w:r>
                </w:p>
              </w:tc>
            </w:tr>
          </w:tbl>
          <w:p/>
        </w:tc>
      </w:tr>
    </w:tbl>
    <w:p>
      <w:pPr>
        <w:spacing w:before="0" w:after="0"/>
        <w:rPr>
          <w:sz w:val="2"/>
          <w:szCs w:val="2"/>
        </w:rPr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540"/>
      </w:tblGrid>
      <w:tr>
        <w:tc>
          <w:tcPr>
            <w:tcW w:type="dxa" w:w="10540"/>
            <w:shd w:val="clear" w:color="auto" w:fill="2c3e5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55" w:type="dxa"/>
              <w:bottom w:w="55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color w:val="ADB5BD"/>
                <w:sz w:val="15"/>
              </w:rPr>
              <w:t>University of the Cordilleras  ·  Baguio City, Benguet, Philippines  ·  2026</w:t>
            </w:r>
          </w:p>
        </w:tc>
      </w:tr>
    </w:tbl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