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52"/>
          <w:szCs w:val="52"/>
        </w:rPr>
        <w:t xml:space="preserve">Computer Vision — Temas complementarios</w:t>
      </w:r>
    </w:p>
    <w:p>
      <w:pPr>
        <w:spacing w:after="120"/>
        <w:jc w:val="center"/>
      </w:pPr>
      <w:r>
        <w:rPr>
          <w:sz w:val="28"/>
          <w:szCs w:val="28"/>
        </w:rPr>
        <w:t xml:space="preserve">Estado del arte no cubierto por el curso (hasta agosto 2026)</w:t>
      </w:r>
    </w:p>
    <w:p>
      <w:pPr>
        <w:spacing w:after="500"/>
        <w:jc w:val="center"/>
      </w:pPr>
      <w:r>
        <w:rPr>
          <w:i/>
          <w:iCs/>
          <w:color w:val="555555"/>
          <w:sz w:val="22"/>
          <w:szCs w:val="22"/>
        </w:rPr>
        <w:t xml:space="preserve">Material de referencia desarrollado, con fuentes primarias citadas y verificadas</w:t>
      </w:r>
    </w:p>
    <w:p>
      <w:r>
        <w:br w:type="page"/>
      </w:r>
    </w:p>
    <w:p>
      <w:pPr>
        <w:pStyle w:val="Heading1"/>
        <w:spacing w:after="120"/>
      </w:pPr>
      <w:r>
        <w:rPr>
          <w:b/>
          <w:bCs/>
        </w:rPr>
        <w:t xml:space="preserve">Alcance de este documento</w:t>
      </w:r>
    </w:p>
    <w:p>
      <w:pPr>
        <w:spacing w:after="200"/>
        <w:jc w:val="both"/>
      </w:pPr>
      <w:r>
        <w:t xml:space="preserve">Este documento complementa el material del curso (Clases 1–8) con temas y avances de Computer Vision relevantes hasta agosto de 2026 que no aparecen en las notebooks, o que allí solo se mencionan de pasada. Cada entrada desarrolla la idea central, el mecanismo clave, por qué importa y su relación con lo visto en clase, y cita la fuente primaria (paper, autores/año y arXiv/venue). Los identificadores arXiv de los trabajos de 2024–2025 fueron verificados. Las notebooks ya cubren: convoluciones y CNN, ResNet, Faster R-CNN, ConvNeXt/EfficientNet/ResNeXt, YOLO v8–v11, EfficientDet, SE/CBAM, anchors/NMS/RoI Align, métricas y pérdidas IoU, ViT, Swin, DETR, DINOv2, ArcFace y reconocimiento facial, CLIP, SAM 3, Grounding DINO, Stable Diffusion (LDM/DDPM/DDIM/CFG/LoRA), ByteTrack/BoT-SORT, Kalman y algoritmo húngaro. Lo de abajo es lo que queda afuera.</w:t>
      </w:r>
    </w:p>
    <w:p>
      <w:pPr>
        <w:pStyle w:val="Heading1"/>
        <w:spacing w:after="120" w:before="120"/>
      </w:pPr>
      <w:r>
        <w:rPr>
          <w:b/>
          <w:bCs/>
        </w:rPr>
        <w:t xml:space="preserve">Índice de temas</w:t>
      </w:r>
    </w:p>
    <w:sdt>
      <w:sdtPr>
        <w:alias w:val="Contenido"/>
      </w:sdtPr>
      <w:sdtContent>
        <w:p>
          <w:r>
            <w:fldChar w:fldCharType="begin" w:dirty="true"/>
            <w:instrText xml:space="preserve">TOC \h \o "1-1"</w:instrText>
            <w:fldChar w:fldCharType="separate"/>
          </w:r>
        </w:p>
        <w:p>
          <w:r>
            <w:fldChar w:fldCharType="end"/>
          </w:r>
        </w:p>
      </w:sdtContent>
    </w:sdt>
    <w:p>
      <w:r>
        <w:br w:type="page"/>
      </w:r>
    </w:p>
    <w:p>
      <w:pPr>
        <w:pStyle w:val="Heading1"/>
        <w:spacing w:after="140" w:before="220"/>
      </w:pPr>
      <w:r>
        <w:rPr>
          <w:b/>
          <w:bCs/>
        </w:rPr>
        <w:t xml:space="preserve">1. Aprendizaje auto-supervisado y foundation models de visión</w:t>
      </w:r>
    </w:p>
    <w:p>
      <w:pPr>
        <w:keepNext/>
        <w:spacing w:after="40" w:before="140"/>
      </w:pPr>
      <w:r>
        <w:rPr>
          <w:b/>
          <w:bCs/>
          <w:color w:val="1F3864"/>
          <w:sz w:val="24"/>
          <w:szCs w:val="24"/>
        </w:rPr>
        <w:t xml:space="preserve">Masked Autoencoders (MAE)</w:t>
      </w:r>
    </w:p>
    <w:p>
      <w:pPr>
        <w:spacing w:after="60"/>
        <w:jc w:val="both"/>
      </w:pPr>
      <w:r>
        <w:t xml:space="preserve">MAE es un método de preentrenamiento auto-supervisado que aplica al dominio de imágenes la idea del enmascaramiento de BERT. La imagen se divide en parches (como en ViT) y se enmascara un porcentaje muy alto —típicamente el 75%—; un encoder ViT procesa únicamente los parches visibles (lo que abarata el cómputo), y un decoder ligero recibe los tokens codificados más tokens de máscara aprendidos y reconstruye los píxeles de los parches ocultos, optimizando un error cuadrático medio solo sobre las regiones enmascaradas.</w:t>
      </w:r>
    </w:p>
    <w:p>
      <w:pPr>
        <w:spacing w:after="60"/>
        <w:jc w:val="both"/>
      </w:pPr>
      <w:r>
        <w:t xml:space="preserve">La clave es que un ratio de enmascaramiento tan alto convierte la reconstrucción en una tarea semántica no trivial (no basta con interpolar vecinos), forzando al encoder a aprender estructura de alto nivel. Es una alternativa reconstructiva (generativa) al paradigma contrastivo/auto-destilado de DINO visto en el curso, escala muy bien con el tamaño del modelo y de los datos, y produce backbones que luego se hacen fine-tuning para clasificación, detección o segmentación. MAE es la base de la familia de 'masked image modeling' que domina el preentrenamiento moderno.</w:t>
      </w:r>
    </w:p>
    <w:p>
      <w:pPr>
        <w:pBdr>
          <w:bottom w:val="single" w:color="DDDDDD" w:sz="4" w:space="6"/>
        </w:pBdr>
        <w:spacing w:after="100"/>
      </w:pPr>
      <w:r>
        <w:rPr>
          <w:i/>
          <w:iCs/>
          <w:color w:val="777777"/>
          <w:sz w:val="18"/>
          <w:szCs w:val="18"/>
        </w:rPr>
        <w:t xml:space="preserve">Fuente: He et al. (2022), Masked Autoencoders Are Scalable Vision Learners, CVPR — arXiv:2111.06377.</w:t>
      </w:r>
    </w:p>
    <w:p>
      <w:pPr>
        <w:keepNext/>
        <w:spacing w:after="40" w:before="140"/>
      </w:pPr>
      <w:r>
        <w:rPr>
          <w:b/>
          <w:bCs/>
          <w:color w:val="1F3864"/>
          <w:sz w:val="24"/>
          <w:szCs w:val="24"/>
        </w:rPr>
        <w:t xml:space="preserve">Familia contrastiva/auto-supervisada: SimCLR, MoCo, BYOL</w:t>
      </w:r>
    </w:p>
    <w:p>
      <w:pPr>
        <w:spacing w:after="60"/>
        <w:jc w:val="both"/>
      </w:pPr>
      <w:r>
        <w:t xml:space="preserve">Son los métodos que fundaron el aprendizaje de representaciones sin etiquetas, paralelos y previos a DINO. SimCLR toma dos aumentaciones aleatorias de la misma imagen (recorte, color, blur) como par positivo y el resto del batch como negativos, y minimiza una pérdida contrastiva (NT-Xent/InfoNCE) que acerca el par positivo y aleja los negativos; su debilidad es que exige batches muy grandes para tener suficientes negativos.</w:t>
      </w:r>
    </w:p>
    <w:p>
      <w:pPr>
        <w:spacing w:after="60"/>
        <w:jc w:val="both"/>
      </w:pPr>
      <w:r>
        <w:t xml:space="preserve">MoCo resuelve eso manteniendo una cola (memory bank) de negativos codificados por un encoder 'momentum' (media móvil exponencial del encoder online), desacoplando el número de negativos del tamaño del batch. BYOL da un paso más y elimina los negativos: usa una red online que predice la representación de una red target (también EMA), y evita el colapso mediante la asimetría predictor + stop-gradient. Estos tres trabajos establecieron los ingredientes (aumentaciones fuertes, encoder momentum, proyecciones, evitar colapso) que reaparecen en DINO/DINOv2/DINOv3 y en SigLIP 2.</w:t>
      </w:r>
    </w:p>
    <w:p>
      <w:pPr>
        <w:pBdr>
          <w:bottom w:val="single" w:color="DDDDDD" w:sz="4" w:space="6"/>
        </w:pBdr>
        <w:spacing w:after="100"/>
      </w:pPr>
      <w:r>
        <w:rPr>
          <w:i/>
          <w:iCs/>
          <w:color w:val="777777"/>
          <w:sz w:val="18"/>
          <w:szCs w:val="18"/>
        </w:rPr>
        <w:t xml:space="preserve">Fuente: SimCLR: Chen et al. (2020) arXiv:2002.05709; MoCo: He et al. (2019) arXiv:1911.05722; BYOL: Grill et al. (2020) arXiv:2006.07733.</w:t>
      </w:r>
    </w:p>
    <w:p>
      <w:pPr>
        <w:keepNext/>
        <w:spacing w:after="40" w:before="140"/>
      </w:pPr>
      <w:r>
        <w:rPr>
          <w:b/>
          <w:bCs/>
          <w:color w:val="1F3864"/>
          <w:sz w:val="24"/>
          <w:szCs w:val="24"/>
        </w:rPr>
        <w:t xml:space="preserve">DINOv3 e I-JEPA</w:t>
      </w:r>
    </w:p>
    <w:p>
      <w:pPr>
        <w:spacing w:after="60"/>
        <w:jc w:val="both"/>
      </w:pPr>
      <w:r>
        <w:t xml:space="preserve">DINOv3 (Meta AI, agosto 2025) es la tercera generación del preentrenamiento auto-supervisado por auto-destilación visto con DINOv2. Sus dos aportes técnicos principales son: (1) escalado estable, que permite entrenar un modelo de hasta 7.000 millones de parámetros sobre ~1.700 millones de imágenes sin colapso, usando un scheduler constante y refinamientos arquitectónicos; y (2) 'Gram Anchoring', una regularización que preserva la alta calidad de las features densas durante entrenamientos largos, corrigiendo un defecto conocido de las versiones previas (la degradación de la coherencia espacial). Un único backbone DINOv3 congelado iguala o supera a modelos supervisados y débilmente supervisados especializados en ~60 benchmarks (segmentación, profundidad, matching de keypoints 3D), y se destila en variantes ViT-S/B/L/H+ y ConvNeXt para distintos presupuestos de cómputo.</w:t>
      </w:r>
    </w:p>
    <w:p>
      <w:pPr>
        <w:spacing w:after="60"/>
        <w:jc w:val="both"/>
      </w:pPr>
      <w:r>
        <w:t xml:space="preserve">I-JEPA es una alternativa complementaria: en lugar de reconstruir píxeles (MAE) o alinear vistas globales (DINO), predice las representaciones en el espacio latente de regiones ocultas a partir de un bloque de contexto. Al operar en el espacio de features y no de píxeles, evita gastar capacidad en detalles de baja frecuencia irrelevantes y aprende semántica de forma más eficiente; es el precursor de la línea de 'joint-embedding predictive architectures' impulsada por Yann LeCun.</w:t>
      </w:r>
    </w:p>
    <w:p>
      <w:pPr>
        <w:pBdr>
          <w:bottom w:val="single" w:color="DDDDDD" w:sz="4" w:space="6"/>
        </w:pBdr>
        <w:spacing w:after="100"/>
      </w:pPr>
      <w:r>
        <w:rPr>
          <w:i/>
          <w:iCs/>
          <w:color w:val="777777"/>
          <w:sz w:val="18"/>
          <w:szCs w:val="18"/>
        </w:rPr>
        <w:t xml:space="preserve">Fuente: DINOv3: Siméoni et al. (Meta AI, 2025) arXiv:2508.10104; I-JEPA: Assran et al. (2023), CVPR — arXiv:2301.08243.</w:t>
      </w:r>
    </w:p>
    <w:p>
      <w:pPr>
        <w:keepNext/>
        <w:spacing w:after="40" w:before="140"/>
      </w:pPr>
      <w:r>
        <w:rPr>
          <w:b/>
          <w:bCs/>
          <w:color w:val="1F3864"/>
          <w:sz w:val="24"/>
          <w:szCs w:val="24"/>
        </w:rPr>
        <w:t xml:space="preserve">Backbones foundation a escala: EVA e InternImage</w:t>
      </w:r>
    </w:p>
    <w:p>
      <w:pPr>
        <w:spacing w:after="60"/>
        <w:jc w:val="both"/>
      </w:pPr>
      <w:r>
        <w:t xml:space="preserve">Ambos empujan el tamaño y la generalidad de los backbones de visión. EVA combina masked image modeling con la destilación de features de CLIP: predice las representaciones CLIP de los parches enmascarados, uniendo lo mejor del auto-supervisado y del preentrenamiento débilmente supervisado, y escala a miles de millones de parámetros logrando SOTA en clasificación, detección y segmentación con un mismo backbone.</w:t>
      </w:r>
    </w:p>
    <w:p>
      <w:pPr>
        <w:spacing w:after="60"/>
        <w:jc w:val="both"/>
      </w:pPr>
      <w:r>
        <w:t xml:space="preserve">InternImage muestra que las CNN no están agotadas: usando convolución deformable v3 (DCNv3) como operador central —que aprende dónde muestrear, ganando el campo receptivo adaptativo de la atención pero con la eficiencia de la convolución— escala a nivel de los ViT gigantes y compite en los grandes benchmarks. Son ejemplos de la tendencia 'foundation model de visión': entrenar una vez a gran escala y transferir a muchas tareas, contraparte visual de los LLM.</w:t>
      </w:r>
    </w:p>
    <w:p>
      <w:pPr>
        <w:pBdr>
          <w:bottom w:val="single" w:color="DDDDDD" w:sz="4" w:space="6"/>
        </w:pBdr>
        <w:spacing w:after="100"/>
      </w:pPr>
      <w:r>
        <w:rPr>
          <w:i/>
          <w:iCs/>
          <w:color w:val="777777"/>
          <w:sz w:val="18"/>
          <w:szCs w:val="18"/>
        </w:rPr>
        <w:t xml:space="preserve">Fuente: EVA: Fang et al. (2022) arXiv:2211.07636 (EVA-02: arXiv:2303.11331); InternImage: Wang et al. (2022) arXiv:2211.05778.</w:t>
      </w:r>
    </w:p>
    <w:p>
      <w:pPr>
        <w:pStyle w:val="Heading1"/>
        <w:spacing w:after="140" w:before="220"/>
      </w:pPr>
      <w:r>
        <w:rPr>
          <w:b/>
          <w:bCs/>
        </w:rPr>
        <w:t xml:space="preserve">2. Segmentación universal y modelos promptables</w:t>
      </w:r>
    </w:p>
    <w:p>
      <w:pPr>
        <w:keepNext/>
        <w:spacing w:after="40" w:before="140"/>
      </w:pPr>
      <w:r>
        <w:rPr>
          <w:b/>
          <w:bCs/>
          <w:color w:val="1F3864"/>
          <w:sz w:val="24"/>
          <w:szCs w:val="24"/>
        </w:rPr>
        <w:t xml:space="preserve">SAM y SAM 2 (los cimientos de SAM 3)</w:t>
      </w:r>
    </w:p>
    <w:p>
      <w:pPr>
        <w:spacing w:after="60"/>
        <w:jc w:val="both"/>
      </w:pPr>
      <w:r>
        <w:t xml:space="preserve">El curso ve SAM 3, pero conviene conocer los originales. SAM (Segment Anything Model, 2023) introdujo la 'segmentación promptable': un image encoder ViT pesado codifica la imagen una sola vez, un prompt encoder ligero codifica prompts (puntos, cajas, máscaras) y un mask decoder muy rápido produce máscaras en milisegundos, lo que permite interacción en tiempo real. Su motor de datos (data engine) generó el dataset SA-1B con más de 1.100 millones de máscaras sobre 11 millones de imágenes mediante un bucle modelo-en-el-loop (el modelo pre-anota, humanos corrigen, se reentrena), un ejemplo canónico de auto-etiquetado a escala.</w:t>
      </w:r>
    </w:p>
    <w:p>
      <w:pPr>
        <w:spacing w:after="60"/>
        <w:jc w:val="both"/>
      </w:pPr>
      <w:r>
        <w:t xml:space="preserve">SAM 2 (2024) unificó imagen y video añadiendo un banco de memoria (memory bank) y un módulo de atención a memoria: las máscaras y features de frames pasados se almacenan y se atienden para propagar la segmentación temporalmente, manejando oclusiones y objetos que entran/salen de escena. SAM 3, visto en clase, extiende esta línea con segmentación por concepto (PCS) y el Presence Token.</w:t>
      </w:r>
    </w:p>
    <w:p>
      <w:pPr>
        <w:pBdr>
          <w:bottom w:val="single" w:color="DDDDDD" w:sz="4" w:space="6"/>
        </w:pBdr>
        <w:spacing w:after="100"/>
      </w:pPr>
      <w:r>
        <w:rPr>
          <w:i/>
          <w:iCs/>
          <w:color w:val="777777"/>
          <w:sz w:val="18"/>
          <w:szCs w:val="18"/>
        </w:rPr>
        <w:t xml:space="preserve">Fuente: SAM: Kirillov et al. (2023) arXiv:2304.02643; SAM 2: Ravi et al. (2024) arXiv:2408.00714.</w:t>
      </w:r>
    </w:p>
    <w:p>
      <w:pPr>
        <w:keepNext/>
        <w:spacing w:after="40" w:before="140"/>
      </w:pPr>
      <w:r>
        <w:rPr>
          <w:b/>
          <w:bCs/>
          <w:color w:val="1F3864"/>
          <w:sz w:val="24"/>
          <w:szCs w:val="24"/>
        </w:rPr>
        <w:t xml:space="preserve">Mask2Former y OneFormer (segmentación universal)</w:t>
      </w:r>
    </w:p>
    <w:p>
      <w:pPr>
        <w:spacing w:after="60"/>
        <w:jc w:val="both"/>
      </w:pPr>
      <w:r>
        <w:t xml:space="preserve">Históricamente la segmentación semántica, de instancias y panóptica usaban arquitecturas distintas. Mask2Former las unifica bajo el paradigma de 'clasificación de máscaras': un conjunto de queries aprendidas predice N máscaras binarias con su etiqueta de clase, entrenadas con matching bipartito (como DETR). Su innovación es la 'masked attention', que restringe la atención cruzada de cada query a la región de su máscara predicha, acelerando la convergencia y mejorando objetos pequeños.</w:t>
      </w:r>
    </w:p>
    <w:p>
      <w:pPr>
        <w:spacing w:after="60"/>
        <w:jc w:val="both"/>
      </w:pPr>
      <w:r>
        <w:t xml:space="preserve">OneFormer va más allá: entrena una sola vez y resuelve las tres tareas condicionando el modelo por un token de texto de la tarea ('the task is semantic/instance/panoptic'), de modo que un mismo peso supera a modelos especializados entrenados por separado. Ambos representan la convergencia hacia arquitecturas Transformer universales de segmentación, la contraparte 'closed-set' de los modelos promptables tipo SAM.</w:t>
      </w:r>
    </w:p>
    <w:p>
      <w:pPr>
        <w:pBdr>
          <w:bottom w:val="single" w:color="DDDDDD" w:sz="4" w:space="6"/>
        </w:pBdr>
        <w:spacing w:after="100"/>
      </w:pPr>
      <w:r>
        <w:rPr>
          <w:i/>
          <w:iCs/>
          <w:color w:val="777777"/>
          <w:sz w:val="18"/>
          <w:szCs w:val="18"/>
        </w:rPr>
        <w:t xml:space="preserve">Fuente: Mask2Former: Cheng et al. (2021) arXiv:2112.01527; OneFormer: Jain et al. (2022) arXiv:2211.06220.</w:t>
      </w:r>
    </w:p>
    <w:p>
      <w:pPr>
        <w:pStyle w:val="Heading1"/>
        <w:spacing w:after="140" w:before="220"/>
      </w:pPr>
      <w:r>
        <w:rPr>
          <w:b/>
          <w:bCs/>
        </w:rPr>
        <w:t xml:space="preserve">3. Detección de objetos de última generación</w:t>
      </w:r>
    </w:p>
    <w:p>
      <w:pPr>
        <w:keepNext/>
        <w:spacing w:after="40" w:before="140"/>
      </w:pPr>
      <w:r>
        <w:rPr>
          <w:b/>
          <w:bCs/>
          <w:color w:val="1F3864"/>
          <w:sz w:val="24"/>
          <w:szCs w:val="24"/>
        </w:rPr>
        <w:t xml:space="preserve">RT-DETR (DETR en tiempo real, sin NMS)</w:t>
      </w:r>
    </w:p>
    <w:p>
      <w:pPr>
        <w:spacing w:after="60"/>
        <w:jc w:val="both"/>
      </w:pPr>
      <w:r>
        <w:t xml:space="preserve">El DETR clásico visto en clase es elegante (detección end-to-end, sin anchors ni NMS) pero converge lento y es pesado. RT-DETR es el primer detector de la familia DETR que iguala o supera a YOLO en el compromiso velocidad-precisión. Sus claves son: un encoder híbrido eficiente que desacopla la interacción intra-escala (atención) de la fusión inter-escala (convoluciones), evitando el costo cuadrático de atender todos los tokens multiescala; y una selección de queries guiada por IoU que inicializa mejor el decoder.</w:t>
      </w:r>
    </w:p>
    <w:p>
      <w:pPr>
        <w:spacing w:after="60"/>
        <w:jc w:val="both"/>
      </w:pPr>
      <w:r>
        <w:t xml:space="preserve">Al ser end-to-end elimina el post-procesamiento por NMS, lo que da latencia estable y determinista (sin el pico de cómputo que el NMS sufre en escenas densas, discutido en el benchmark YOLO11 de la Clase 7) y simplifica el despliegue. Marcó el punto donde los detectores tipo Transformer se volvieron prácticos para tiempo real.</w:t>
      </w:r>
    </w:p>
    <w:p>
      <w:pPr>
        <w:pBdr>
          <w:bottom w:val="single" w:color="DDDDDD" w:sz="4" w:space="6"/>
        </w:pBdr>
        <w:spacing w:after="100"/>
      </w:pPr>
      <w:r>
        <w:rPr>
          <w:i/>
          <w:iCs/>
          <w:color w:val="777777"/>
          <w:sz w:val="18"/>
          <w:szCs w:val="18"/>
        </w:rPr>
        <w:t xml:space="preserve">Fuente: Zhao et al. (2023), DETRs Beat YOLOs on Real-time Object Detection, CVPR 2024 — arXiv:2304.08069.</w:t>
      </w:r>
    </w:p>
    <w:p>
      <w:pPr>
        <w:keepNext/>
        <w:spacing w:after="40" w:before="140"/>
      </w:pPr>
      <w:r>
        <w:rPr>
          <w:b/>
          <w:bCs/>
          <w:color w:val="1F3864"/>
          <w:sz w:val="24"/>
          <w:szCs w:val="24"/>
        </w:rPr>
        <w:t xml:space="preserve">Co-DETR y DINO-DETR (SOTA en COCO)</w:t>
      </w:r>
    </w:p>
    <w:p>
      <w:pPr>
        <w:spacing w:after="60"/>
        <w:jc w:val="both"/>
      </w:pPr>
      <w:r>
        <w:t xml:space="preserve">Son las recetas que llevaron a DETR al estado del arte absoluto en COCO. DINO (DETR with Improved deNoising) añade 'denoising training' —alimenta al decoder cajas GT con ruido para que aprenda a reconstruirlas, estabilizando el matching bipartito que de otro modo es inestable al inicio— más anchor boxes dinámicas y 'mixed query selection'. Co-DETR (Collaborative DETR) introduce esquemas de asignación colaborativa: entrena cabezas auxiliares densas (tipo ATSS/Faster R-CNN) en paralelo que enriquecen la supervisión del encoder, mejorando la calidad de las features sin cambiar la inferencia.</w:t>
      </w:r>
    </w:p>
    <w:p>
      <w:pPr>
        <w:spacing w:after="60"/>
        <w:jc w:val="both"/>
      </w:pPr>
      <w:r>
        <w:t xml:space="preserve">Estas variantes muestran que el cuello de botella de DETR no era la idea de set prediction sino la eficiencia del entrenamiento; combinadas con backbones foundation (EVA, InternImage) dominan las tablas de detección. Extienden directamente la línea DETR de la Clase 4.</w:t>
      </w:r>
    </w:p>
    <w:p>
      <w:pPr>
        <w:pBdr>
          <w:bottom w:val="single" w:color="DDDDDD" w:sz="4" w:space="6"/>
        </w:pBdr>
        <w:spacing w:after="100"/>
      </w:pPr>
      <w:r>
        <w:rPr>
          <w:i/>
          <w:iCs/>
          <w:color w:val="777777"/>
          <w:sz w:val="18"/>
          <w:szCs w:val="18"/>
        </w:rPr>
        <w:t xml:space="preserve">Fuente: DINO: Zhang et al. (2022) arXiv:2203.03605; Co-DETR: Zong et al. (2022) arXiv:2211.12860.</w:t>
      </w:r>
    </w:p>
    <w:p>
      <w:pPr>
        <w:keepNext/>
        <w:spacing w:after="40" w:before="140"/>
      </w:pPr>
      <w:r>
        <w:rPr>
          <w:b/>
          <w:bCs/>
          <w:color w:val="1F3864"/>
          <w:sz w:val="24"/>
          <w:szCs w:val="24"/>
        </w:rPr>
        <w:t xml:space="preserve">Detección open-vocabulary: OWLv2 y YOLO-World</w:t>
      </w:r>
    </w:p>
    <w:p>
      <w:pPr>
        <w:spacing w:after="60"/>
        <w:jc w:val="both"/>
      </w:pPr>
      <w:r>
        <w:t xml:space="preserve">Complementan a Grounding DINO (visto en clase) en la detección de clases arbitrarias descritas por texto sin reentrenar. OWL-ViT/OWLv2 parten de un backbone tipo CLIP y añaden cabezas de detección ligeras; el texto de cada clase candidata se codifica y se compara con los embeddings de las regiones, permitiendo detectar categorías nunca vistas en el conjunto de entrenamiento de detección. OWLv2 escala con auto-entrenamiento sobre pseudo-etiquetas web.</w:t>
      </w:r>
    </w:p>
    <w:p>
      <w:pPr>
        <w:spacing w:after="60"/>
        <w:jc w:val="both"/>
      </w:pPr>
      <w:r>
        <w:t xml:space="preserve">YOLO-World lleva la detección open-vocabulary a la velocidad de YOLO en tiempo real: precomputa los embeddings de texto del vocabulario objetivo (que quedan fijos en inferencia, 'prompt-then-detect') y fusiona texto y visión con un módulo eficiente (RepVL-PAN), logrando detección de vocabulario abierto en dispositivos de borde. Juntos ilustran el desplazamiento de la detección desde conjuntos cerrados de clases hacia prompts en lenguaje natural.</w:t>
      </w:r>
    </w:p>
    <w:p>
      <w:pPr>
        <w:pBdr>
          <w:bottom w:val="single" w:color="DDDDDD" w:sz="4" w:space="6"/>
        </w:pBdr>
        <w:spacing w:after="100"/>
      </w:pPr>
      <w:r>
        <w:rPr>
          <w:i/>
          <w:iCs/>
          <w:color w:val="777777"/>
          <w:sz w:val="18"/>
          <w:szCs w:val="18"/>
        </w:rPr>
        <w:t xml:space="preserve">Fuente: OWL-ViT: Minderer et al. (2022) arXiv:2205.06230 (OWLv2: arXiv:2306.09683); YOLO-World: Cheng et al. (2024) arXiv:2401.17270.</w:t>
      </w:r>
    </w:p>
    <w:p>
      <w:pPr>
        <w:pStyle w:val="Heading1"/>
        <w:spacing w:after="140" w:before="220"/>
      </w:pPr>
      <w:r>
        <w:rPr>
          <w:b/>
          <w:bCs/>
        </w:rPr>
        <w:t xml:space="preserve">4. Modelos generativos de imagen más allá del LDM clásico</w:t>
      </w:r>
    </w:p>
    <w:p>
      <w:pPr>
        <w:keepNext/>
        <w:spacing w:after="40" w:before="140"/>
      </w:pPr>
      <w:r>
        <w:rPr>
          <w:b/>
          <w:bCs/>
          <w:color w:val="1F3864"/>
          <w:sz w:val="24"/>
          <w:szCs w:val="24"/>
        </w:rPr>
        <w:t xml:space="preserve">SDXL</w:t>
      </w:r>
    </w:p>
    <w:p>
      <w:pPr>
        <w:spacing w:after="60"/>
        <w:jc w:val="both"/>
      </w:pPr>
      <w:r>
        <w:t xml:space="preserve">SDXL es la evolución directa del Stable Diffusion visto en clase. Amplía la U-Net del denoiser a ~2.6B de parámetros (unas 3× más), usa dos text-encoders en paralelo (CLIP ViT-L + OpenCLIP ViT-bigG) para prompts más ricos, e introduce condicionamiento por metadatos de tamaño y recorte (size/crop conditioning) que corrige artefactos de composición. Añade además un modelo 'refiner' en cascada especializado en los últimos pasos de denoising para pulir detalles de alta frecuencia.</w:t>
      </w:r>
    </w:p>
    <w:p>
      <w:pPr>
        <w:spacing w:after="60"/>
        <w:jc w:val="both"/>
      </w:pPr>
      <w:r>
        <w:t xml:space="preserve">El resultado es un salto notable en composición, anatomía, generación de texto dentro de la imagen y fidelidad general frente a SD 1.x/2.x, manteniendo la arquitectura latente (VAE + U-Net + cross-attention CLIP) explicada en el curso. Fue durante un tiempo el modelo open-weights de referencia para texto-a-imagen.</w:t>
      </w:r>
    </w:p>
    <w:p>
      <w:pPr>
        <w:pBdr>
          <w:bottom w:val="single" w:color="DDDDDD" w:sz="4" w:space="6"/>
        </w:pBdr>
        <w:spacing w:after="100"/>
      </w:pPr>
      <w:r>
        <w:rPr>
          <w:i/>
          <w:iCs/>
          <w:color w:val="777777"/>
          <w:sz w:val="18"/>
          <w:szCs w:val="18"/>
        </w:rPr>
        <w:t xml:space="preserve">Fuente: Podell et al. (2023), SDXL: Improving Latent Diffusion Models for High-Resolution Image Synthesis, arXiv:2307.01952.</w:t>
      </w:r>
    </w:p>
    <w:p>
      <w:pPr>
        <w:keepNext/>
        <w:spacing w:after="40" w:before="140"/>
      </w:pPr>
      <w:r>
        <w:rPr>
          <w:b/>
          <w:bCs/>
          <w:color w:val="1F3864"/>
          <w:sz w:val="24"/>
          <w:szCs w:val="24"/>
        </w:rPr>
        <w:t xml:space="preserve">Diffusion Transformers (DiT)</w:t>
      </w:r>
    </w:p>
    <w:p>
      <w:pPr>
        <w:spacing w:after="60"/>
        <w:jc w:val="both"/>
      </w:pPr>
      <w:r>
        <w:t xml:space="preserve">DiT reemplaza la U-Net convolucional del denoiser por un Transformer que opera sobre los parches del latente, inyectando el timestep y la condición mediante normalización adaptativa (adaLN-zero). Su hallazgo central es que la calidad escala de forma predecible con el cómputo: más profundidad/ancho y más FLOPs → menor FID, siguiendo leyes de escala tipo LLM. Esto rompió la creencia de que la U-Net era indispensable para difusión.</w:t>
      </w:r>
    </w:p>
    <w:p>
      <w:pPr>
        <w:spacing w:after="60"/>
        <w:jc w:val="both"/>
      </w:pPr>
      <w:r>
        <w:t xml:space="preserve">DiT es la arquitectura base de la generación moderna: Stable Diffusion 3, PixArt, Flux y los generadores de video como Sora son todos Diffusion Transformers. Conecta directamente el mundo de la difusión (Clase 8) con el de los Transformers (Clase 4).</w:t>
      </w:r>
    </w:p>
    <w:p>
      <w:pPr>
        <w:pBdr>
          <w:bottom w:val="single" w:color="DDDDDD" w:sz="4" w:space="6"/>
        </w:pBdr>
        <w:spacing w:after="100"/>
      </w:pPr>
      <w:r>
        <w:rPr>
          <w:i/>
          <w:iCs/>
          <w:color w:val="777777"/>
          <w:sz w:val="18"/>
          <w:szCs w:val="18"/>
        </w:rPr>
        <w:t xml:space="preserve">Fuente: Peebles &amp; Xie (2022), Scalable Diffusion Models with Transformers, ICCV 2023 — arXiv:2212.09748.</w:t>
      </w:r>
    </w:p>
    <w:p>
      <w:pPr>
        <w:keepNext/>
        <w:spacing w:after="40" w:before="140"/>
      </w:pPr>
      <w:r>
        <w:rPr>
          <w:b/>
          <w:bCs/>
          <w:color w:val="1F3864"/>
          <w:sz w:val="24"/>
          <w:szCs w:val="24"/>
        </w:rPr>
        <w:t xml:space="preserve">Stable Diffusion 3 y el MMDiT</w:t>
      </w:r>
    </w:p>
    <w:p>
      <w:pPr>
        <w:spacing w:after="60"/>
        <w:jc w:val="both"/>
      </w:pPr>
      <w:r>
        <w:t xml:space="preserve">SD3 combina dos ideas nuevas. Primero, entrena con rectified flow en vez de la formulación DDPM (ver entrada siguiente), lo que da trayectorias más rectas y mejor muestreo. Segundo, introduce el MMDiT (Multimodal Diffusion Transformer): en lugar de inyectar el texto solo por cross-attention, procesa los tokens de imagen y de texto como dos flujos con pesos separados que se atienden mutuamente en una atención conjunta, permitiendo que la representación del texto se actualice según la imagen y viceversa.</w:t>
      </w:r>
    </w:p>
    <w:p>
      <w:pPr>
        <w:spacing w:after="60"/>
        <w:jc w:val="both"/>
      </w:pPr>
      <w:r>
        <w:t xml:space="preserve">Esto mejora sensiblemente la adherencia al prompt (bindings de atributos, conteo) y, notablemente, la generación de texto legible dentro de la imagen —una debilidad histórica de los modelos de difusión. Representa la fusión de los tres hilos del curso: latente (VAE), Transformer y una nueva formulación de entrenamiento generativo.</w:t>
      </w:r>
    </w:p>
    <w:p>
      <w:pPr>
        <w:pBdr>
          <w:bottom w:val="single" w:color="DDDDDD" w:sz="4" w:space="6"/>
        </w:pBdr>
        <w:spacing w:after="100"/>
      </w:pPr>
      <w:r>
        <w:rPr>
          <w:i/>
          <w:iCs/>
          <w:color w:val="777777"/>
          <w:sz w:val="18"/>
          <w:szCs w:val="18"/>
        </w:rPr>
        <w:t xml:space="preserve">Fuente: Esser et al. (2024), Scaling Rectified Flow Transformers for High-Resolution Image Synthesis, ICML — arXiv:2403.03206.</w:t>
      </w:r>
    </w:p>
    <w:p>
      <w:pPr>
        <w:keepNext/>
        <w:spacing w:after="40" w:before="140"/>
      </w:pPr>
      <w:r>
        <w:rPr>
          <w:b/>
          <w:bCs/>
          <w:color w:val="1F3864"/>
          <w:sz w:val="24"/>
          <w:szCs w:val="24"/>
        </w:rPr>
        <w:t xml:space="preserve">Rectified Flow y Flow Matching (nuevo paradigma de entrenamiento)</w:t>
      </w:r>
    </w:p>
    <w:p>
      <w:pPr>
        <w:spacing w:after="60"/>
        <w:jc w:val="both"/>
      </w:pPr>
      <w:r>
        <w:t xml:space="preserve">Son una alternativa a la difusión DDPM vista en clase. En lugar de definir un proceso estocástico de ruido y aprender a revertirlo paso a paso, estos métodos aprenden directamente un campo de velocidad (un ODE) que transporta la distribución de ruido a la de datos a lo largo de trayectorias idealmente rectas. Flow Matching provee el objetivo de entrenamiento general (regresión sobre el campo de velocidad de un camino de probabilidad condicional) y Rectified Flow propone caminos lineales entre ruido y dato, además de un procedimiento de 'reflow' que endereza las trayectorias.</w:t>
      </w:r>
    </w:p>
    <w:p>
      <w:pPr>
        <w:spacing w:after="60"/>
        <w:jc w:val="both"/>
      </w:pPr>
      <w:r>
        <w:t xml:space="preserve">La ventaja práctica es un muestreo de muy pocos pasos con integradores ODE simples, porque una trayectoria recta necesita menos evaluaciones. Sustentan a Stable Diffusion 3, Flux y buena parte de los generadores de imagen y video de 2024–2025; entender este marco es hoy tan importante como entender DDPM/DDIM.</w:t>
      </w:r>
    </w:p>
    <w:p>
      <w:pPr>
        <w:pBdr>
          <w:bottom w:val="single" w:color="DDDDDD" w:sz="4" w:space="6"/>
        </w:pBdr>
        <w:spacing w:after="100"/>
      </w:pPr>
      <w:r>
        <w:rPr>
          <w:i/>
          <w:iCs/>
          <w:color w:val="777777"/>
          <w:sz w:val="18"/>
          <w:szCs w:val="18"/>
        </w:rPr>
        <w:t xml:space="preserve">Fuente: Rectified Flow: Liu et al. (2022) arXiv:2209.03003; Flow Matching: Lipman et al. (2022) arXiv:2210.02747.</w:t>
      </w:r>
    </w:p>
    <w:p>
      <w:pPr>
        <w:keepNext/>
        <w:spacing w:after="40" w:before="140"/>
      </w:pPr>
      <w:r>
        <w:rPr>
          <w:b/>
          <w:bCs/>
          <w:color w:val="1F3864"/>
          <w:sz w:val="24"/>
          <w:szCs w:val="24"/>
        </w:rPr>
        <w:t xml:space="preserve">Consistency Models y Latent Consistency Models (muestreo en 1–4 pasos)</w:t>
      </w:r>
    </w:p>
    <w:p>
      <w:pPr>
        <w:spacing w:after="60"/>
        <w:jc w:val="both"/>
      </w:pPr>
      <w:r>
        <w:t xml:space="preserve">Atacan el talón de Aquiles de la difusión: la lentitud del muestreo (20–50 pasos). Un Consistency Model se entrena para que, desde cualquier punto de la trayectoria de ruido, la red mapee directamente al dato limpio (propiedad de auto-consistencia), permitiendo generar en un solo paso o refinar en unos pocos. Se pueden entrenar por destilación de un modelo de difusión preexistente o desde cero.</w:t>
      </w:r>
    </w:p>
    <w:p>
      <w:pPr>
        <w:spacing w:after="60"/>
        <w:jc w:val="both"/>
      </w:pPr>
      <w:r>
        <w:t xml:space="preserve">Los Latent Consistency Models aplican esto en el espacio latente de Stable Diffusion, y LCM-LoRA empaqueta la aceleración como un adaptador LoRA (concepto visto en clase) que se enchufa a modelos SD/SDXL existentes, generando imágenes de calidad en 1–4 pasos. Son la base de la generación interactiva casi en tiempo real.</w:t>
      </w:r>
    </w:p>
    <w:p>
      <w:pPr>
        <w:pBdr>
          <w:bottom w:val="single" w:color="DDDDDD" w:sz="4" w:space="6"/>
        </w:pBdr>
        <w:spacing w:after="100"/>
      </w:pPr>
      <w:r>
        <w:rPr>
          <w:i/>
          <w:iCs/>
          <w:color w:val="777777"/>
          <w:sz w:val="18"/>
          <w:szCs w:val="18"/>
        </w:rPr>
        <w:t xml:space="preserve">Fuente: Consistency Models: Song et al. (2023) arXiv:2303.01469; LCM: Luo et al. (2023) arXiv:2310.04378.</w:t>
      </w:r>
    </w:p>
    <w:p>
      <w:pPr>
        <w:keepNext/>
        <w:spacing w:after="40" w:before="140"/>
      </w:pPr>
      <w:r>
        <w:rPr>
          <w:b/>
          <w:bCs/>
          <w:color w:val="1F3864"/>
          <w:sz w:val="24"/>
          <w:szCs w:val="24"/>
        </w:rPr>
        <w:t xml:space="preserve">Condicionamiento espacial: ControlNet e IP-Adapter</w:t>
      </w:r>
    </w:p>
    <w:p>
      <w:pPr>
        <w:spacing w:after="60"/>
        <w:jc w:val="both"/>
      </w:pPr>
      <w:r>
        <w:t xml:space="preserve">Extienden el control sobre la generación más allá del prompt de texto (y del strength/inpainting vistos en clase). ControlNet congela el modelo de difusión base y le añade una copia entrenable de su encoder conectada por convoluciones 'zero-init' (que arrancan en cero para no dañar el modelo al inicio); esa rama recibe una señal de control estructural —bordes Canny, mapa de profundidad, pose OpenPose, máscara de segmentación, scribble— e impone esa estructura en la salida, permitiendo, por ejemplo, generar una imagen que respete exactamente una pose dada.</w:t>
      </w:r>
    </w:p>
    <w:p>
      <w:pPr>
        <w:spacing w:after="60"/>
        <w:jc w:val="both"/>
      </w:pPr>
      <w:r>
        <w:t xml:space="preserve">IP-Adapter resuelve el condicionamiento por imagen de referencia ('image prompt'): añade una cross-attention desacoplada para features de imagen (extraídas por un encoder CLIP), de modo que se puede guiar la generación con el estilo o el sujeto de una foto sin reentrenar el modelo base. Juntos son la infraestructura de control fino que hizo a la difusión útil en producción creativa.</w:t>
      </w:r>
    </w:p>
    <w:p>
      <w:pPr>
        <w:pBdr>
          <w:bottom w:val="single" w:color="DDDDDD" w:sz="4" w:space="6"/>
        </w:pBdr>
        <w:spacing w:after="100"/>
      </w:pPr>
      <w:r>
        <w:rPr>
          <w:i/>
          <w:iCs/>
          <w:color w:val="777777"/>
          <w:sz w:val="18"/>
          <w:szCs w:val="18"/>
        </w:rPr>
        <w:t xml:space="preserve">Fuente: ControlNet: Zhang et al. (2023) arXiv:2302.05543; IP-Adapter: Ye et al. (2023) arXiv:2308.06721.</w:t>
      </w:r>
    </w:p>
    <w:p>
      <w:pPr>
        <w:pStyle w:val="Heading1"/>
        <w:spacing w:after="140" w:before="220"/>
      </w:pPr>
      <w:r>
        <w:rPr>
          <w:b/>
          <w:bCs/>
        </w:rPr>
        <w:t xml:space="preserve">5. Generación y comprensión de video</w:t>
      </w:r>
    </w:p>
    <w:p>
      <w:pPr>
        <w:keepNext/>
        <w:spacing w:after="40" w:before="140"/>
      </w:pPr>
      <w:r>
        <w:rPr>
          <w:b/>
          <w:bCs/>
          <w:color w:val="1F3864"/>
          <w:sz w:val="24"/>
          <w:szCs w:val="24"/>
        </w:rPr>
        <w:t xml:space="preserve">Sora y generadores de video por difusión</w:t>
      </w:r>
    </w:p>
    <w:p>
      <w:pPr>
        <w:spacing w:after="60"/>
        <w:jc w:val="both"/>
      </w:pPr>
      <w:r>
        <w:t xml:space="preserve">Sora (OpenAI, 2024) demostró generación de video de alta fidelidad y hasta un minuto de duración. Su enfoque clave es tratar el video como secuencias de 'spacetime patches': se comprime el video a un latente espacio-temporal (VAE 3D) y se lo trocea en parches que juegan el rol de tokens de un Diffusion Transformer entrenado a gran escala, unificando distintas resoluciones, duraciones y relaciones de aspecto. OpenAI enmarcó estos modelos como potenciales 'simuladores de mundo' por su capacidad emergente de coherencia física.</w:t>
      </w:r>
    </w:p>
    <w:p>
      <w:pPr>
        <w:spacing w:after="60"/>
        <w:jc w:val="both"/>
      </w:pPr>
      <w:r>
        <w:t xml:space="preserve">Stable Video Diffusion abrió la línea equivalente open-source (image/text-to-video) partiendo de un modelo de imagen y añadiendo capas temporales. Estos sistemas combinan todo lo del curso —latente VAE, difusión, Transformers, condicionamiento CLIP— más el eje temporal; sus retos abiertos son coherencia de largo plazo, consistencia de objetos y costo de cómputo.</w:t>
      </w:r>
    </w:p>
    <w:p>
      <w:pPr>
        <w:pBdr>
          <w:bottom w:val="single" w:color="DDDDDD" w:sz="4" w:space="6"/>
        </w:pBdr>
        <w:spacing w:after="100"/>
      </w:pPr>
      <w:r>
        <w:rPr>
          <w:i/>
          <w:iCs/>
          <w:color w:val="777777"/>
          <w:sz w:val="18"/>
          <w:szCs w:val="18"/>
        </w:rPr>
        <w:t xml:space="preserve">Fuente: Sora: OpenAI, Video Generation Models as World Simulators (technical report, 2024); Stable Video Diffusion: Blattmann et al. (2023) arXiv:2311.15127.</w:t>
      </w:r>
    </w:p>
    <w:p>
      <w:pPr>
        <w:keepNext/>
        <w:spacing w:after="40" w:before="140"/>
      </w:pPr>
      <w:r>
        <w:rPr>
          <w:b/>
          <w:bCs/>
          <w:color w:val="1F3864"/>
          <w:sz w:val="24"/>
          <w:szCs w:val="24"/>
        </w:rPr>
        <w:t xml:space="preserve">VideoMAE (auto-supervisado para video)</w:t>
      </w:r>
    </w:p>
    <w:p>
      <w:pPr>
        <w:spacing w:after="60"/>
        <w:jc w:val="both"/>
      </w:pPr>
      <w:r>
        <w:t xml:space="preserve">Lleva el enmascaramiento de MAE al dominio temporal para aprender representaciones de video sin etiquetas. Su innovación es el 'tube masking' con ratio extremadamente alto (~90–95%): enmascara los mismos parches a lo largo del tiempo (tubos espacio-temporales), lo que evita la fuga de información por redundancia temporal entre frames adyacentes y hace la tarea de reconstrucción genuinamente difícil.</w:t>
      </w:r>
    </w:p>
    <w:p>
      <w:pPr>
        <w:spacing w:after="60"/>
        <w:jc w:val="both"/>
      </w:pPr>
      <w:r>
        <w:t xml:space="preserve">El resultado son modelos de video eficientes en datos y fuertes en reconocimiento de acciones, incluso entrenando en datasets relativamente pequeños. Es el equivalente para video del preentrenamiento auto-supervisado de imágenes discutido en la sección 1.</w:t>
      </w:r>
    </w:p>
    <w:p>
      <w:pPr>
        <w:pBdr>
          <w:bottom w:val="single" w:color="DDDDDD" w:sz="4" w:space="6"/>
        </w:pBdr>
        <w:spacing w:after="100"/>
      </w:pPr>
      <w:r>
        <w:rPr>
          <w:i/>
          <w:iCs/>
          <w:color w:val="777777"/>
          <w:sz w:val="18"/>
          <w:szCs w:val="18"/>
        </w:rPr>
        <w:t xml:space="preserve">Fuente: Tong et al. (2022), VideoMAE, NeurIPS — arXiv:2203.12602.</w:t>
      </w:r>
    </w:p>
    <w:p>
      <w:pPr>
        <w:pStyle w:val="Heading1"/>
        <w:spacing w:after="140" w:before="220"/>
      </w:pPr>
      <w:r>
        <w:rPr>
          <w:b/>
          <w:bCs/>
        </w:rPr>
        <w:t xml:space="preserve">6. Modelos Visión-Lenguaje (VLMs) y multimodales</w:t>
      </w:r>
    </w:p>
    <w:p>
      <w:pPr>
        <w:keepNext/>
        <w:spacing w:after="40" w:before="140"/>
      </w:pPr>
      <w:r>
        <w:rPr>
          <w:b/>
          <w:bCs/>
          <w:color w:val="1F3864"/>
          <w:sz w:val="24"/>
          <w:szCs w:val="24"/>
        </w:rPr>
        <w:t xml:space="preserve">Sucesores de CLIP: SigLIP y SigLIP 2</w:t>
      </w:r>
    </w:p>
    <w:p>
      <w:pPr>
        <w:spacing w:after="60"/>
        <w:jc w:val="both"/>
      </w:pPr>
      <w:r>
        <w:t xml:space="preserve">SigLIP reemplaza la pérdida contrastiva softmax de CLIP (que normaliza sobre todo el batch y por eso necesita batches enormes y sincronización global) por una pérdida sigmoide que trata cada par imagen-texto como una clasificación binaria independiente (¿coinciden o no?). Esto simplifica el entrenamiento, funciona bien con batches más chicos y mejora la eficiencia.</w:t>
      </w:r>
    </w:p>
    <w:p>
      <w:pPr>
        <w:spacing w:after="60"/>
        <w:jc w:val="both"/>
      </w:pPr>
      <w:r>
        <w:t xml:space="preserve">SigLIP 2 (Google, 2025) unifica en una sola receta varias técnicas: el objetivo sigmoide original más pretraining por captioning, pérdidas auto-supervisadas (auto-destilación y predicción enmascarada) y curación de datos online, con una variante NaFlex que preserva la relación de aspecto nativa y admite múltiples resoluciones. Supera a SigLIP en clasificación zero-shot, retrieval, features densas (segmentación/profundidad) y localización, y es multilingüe. Estos encoders son los 'ojos' de muchos VLMs y de modelos como Gemini.</w:t>
      </w:r>
    </w:p>
    <w:p>
      <w:pPr>
        <w:pBdr>
          <w:bottom w:val="single" w:color="DDDDDD" w:sz="4" w:space="6"/>
        </w:pBdr>
        <w:spacing w:after="100"/>
      </w:pPr>
      <w:r>
        <w:rPr>
          <w:i/>
          <w:iCs/>
          <w:color w:val="777777"/>
          <w:sz w:val="18"/>
          <w:szCs w:val="18"/>
        </w:rPr>
        <w:t xml:space="preserve">Fuente: SigLIP: Zhai et al. (2023) arXiv:2303.15343; SigLIP 2: Tschannen et al. (Google, 2025) arXiv:2502.14786.</w:t>
      </w:r>
    </w:p>
    <w:p>
      <w:pPr>
        <w:keepNext/>
        <w:spacing w:after="40" w:before="140"/>
      </w:pPr>
      <w:r>
        <w:rPr>
          <w:b/>
          <w:bCs/>
          <w:color w:val="1F3864"/>
          <w:sz w:val="24"/>
          <w:szCs w:val="24"/>
        </w:rPr>
        <w:t xml:space="preserve">VLMs open-source: LLaVA, Qwen2-VL, PaliGemma, Molmo</w:t>
      </w:r>
    </w:p>
    <w:p>
      <w:pPr>
        <w:spacing w:after="60"/>
        <w:jc w:val="both"/>
      </w:pPr>
      <w:r>
        <w:t xml:space="preserve">Conectan un encoder de visión (tipo CLIP/SigLIP) con un LLM para responder preguntas, describir y razonar sobre imágenes. LLaVA popularizó la receta del 'visual instruction tuning': un proyector (MLP) mapea las features visuales al espacio de embeddings del LLM, y se afina con datos de instrucción imagen-texto generados con GPT-4. Qwen2-VL introduce resolución dinámica nativa (procesa la imagen a su resolución real en un número variable de tokens) y M-RoPE (posición rotatoria multimodal para texto/imagen/video). PaliGemma es un VLM compacto y versátil (SigLIP-So400m + Gemma-2B) pensado como base para transferir a muchas tareas. Molmo destaca por ser abierto en datos y pesos: su familia PixMo incluye captions muy detallados y un dataset de 'pointing' 2D, todo recolectado sin destilar de VLMs propietarios.</w:t>
      </w:r>
    </w:p>
    <w:p>
      <w:pPr>
        <w:spacing w:after="60"/>
        <w:jc w:val="both"/>
      </w:pPr>
      <w:r>
        <w:t xml:space="preserve">Estos modelos habilitan VQA, OCR, comprensión de documentos y gráficos, y grounding (señalar/localizar), y son la herramienta práctica para tareas como generar pseudo-etiquetas o describir datasets. Son la evolución multimodal de CLIP hacia el diálogo y el razonamiento.</w:t>
      </w:r>
    </w:p>
    <w:p>
      <w:pPr>
        <w:pBdr>
          <w:bottom w:val="single" w:color="DDDDDD" w:sz="4" w:space="6"/>
        </w:pBdr>
        <w:spacing w:after="100"/>
      </w:pPr>
      <w:r>
        <w:rPr>
          <w:i/>
          <w:iCs/>
          <w:color w:val="777777"/>
          <w:sz w:val="18"/>
          <w:szCs w:val="18"/>
        </w:rPr>
        <w:t xml:space="preserve">Fuente: LLaVA: Liu et al. (2023) arXiv:2304.08485; Qwen2-VL: Wang et al. (2024) arXiv:2409.12191; PaliGemma: Beyer et al. (2024) arXiv:2407.07726; Molmo/PixMo: Deitke et al. (2024) arXiv:2409.17146.</w:t>
      </w:r>
    </w:p>
    <w:p>
      <w:pPr>
        <w:keepNext/>
        <w:spacing w:after="40" w:before="140"/>
      </w:pPr>
      <w:r>
        <w:rPr>
          <w:b/>
          <w:bCs/>
          <w:color w:val="1F3864"/>
          <w:sz w:val="24"/>
          <w:szCs w:val="24"/>
        </w:rPr>
        <w:t xml:space="preserve">VLMs propietarios de referencia: GPT-4o y Gemini</w:t>
      </w:r>
    </w:p>
    <w:p>
      <w:pPr>
        <w:spacing w:after="60"/>
        <w:jc w:val="both"/>
      </w:pPr>
      <w:r>
        <w:t xml:space="preserve">Son modelos multimodales nativos (no un encoder pegado a posteriori) que procesan imagen —y en varios casos video y audio— junto con texto en un mismo modelo, fijando el estado del arte en comprensión visual, OCR, razonamiento sobre diagramas y agentes que operan interfaces gráficas. Se usan como baselines fuertes y como herramientas de anotación/evaluación.</w:t>
      </w:r>
    </w:p>
    <w:p>
      <w:pPr>
        <w:spacing w:after="60"/>
        <w:jc w:val="both"/>
      </w:pPr>
      <w:r>
        <w:t xml:space="preserve">Su relevancia para el curso es doble: muestran hasta dónde llega la comprensión visual de propósito general, y son el 'techo' contra el que se comparan los VLMs abiertos de la entrada anterior. Sus limitaciones —alucinaciones, localización espacial imperfecta, costo y opacidad— siguen motivando la investigación abierta.</w:t>
      </w:r>
    </w:p>
    <w:p>
      <w:pPr>
        <w:pBdr>
          <w:bottom w:val="single" w:color="DDDDDD" w:sz="4" w:space="6"/>
        </w:pBdr>
        <w:spacing w:after="100"/>
      </w:pPr>
      <w:r>
        <w:rPr>
          <w:i/>
          <w:iCs/>
          <w:color w:val="777777"/>
          <w:sz w:val="18"/>
          <w:szCs w:val="18"/>
        </w:rPr>
        <w:t xml:space="preserve">Fuente: OpenAI GPT-4o (2024); Google Gemini: Gemini Team (2023–2024) arXiv:2312.11805.</w:t>
      </w:r>
    </w:p>
    <w:p>
      <w:pPr>
        <w:pStyle w:val="Heading1"/>
        <w:spacing w:after="140" w:before="220"/>
      </w:pPr>
      <w:r>
        <w:rPr>
          <w:b/>
          <w:bCs/>
        </w:rPr>
        <w:t xml:space="preserve">7. Arquitecturas eficientes y alternativas al Transformer</w:t>
      </w:r>
    </w:p>
    <w:p>
      <w:pPr>
        <w:keepNext/>
        <w:spacing w:after="40" w:before="140"/>
      </w:pPr>
      <w:r>
        <w:rPr>
          <w:b/>
          <w:bCs/>
          <w:color w:val="1F3864"/>
          <w:sz w:val="24"/>
          <w:szCs w:val="24"/>
        </w:rPr>
        <w:t xml:space="preserve">FlashAttention</w:t>
      </w:r>
    </w:p>
    <w:p>
      <w:pPr>
        <w:spacing w:after="60"/>
        <w:jc w:val="both"/>
      </w:pPr>
      <w:r>
        <w:t xml:space="preserve">FlashAttention es una implementación exacta (no aproximada) de la atención que la vuelve eficiente en memoria y más rápida. El problema del cálculo estándar es que materializa la matriz de atención n×n en la memoria de alto ancho de banda (HBM) de la GPU, dominada por el costo de lectura/escritura. FlashAttention reordena el cómputo por bloques (tiling) y usa un softmax online que nunca guarda la matriz completa: fusiona las operaciones en un solo kernel y hace el backward recomputando en vez de almacenar, reduciendo el tráfico a HBM de cuadrático a lineal.</w:t>
      </w:r>
    </w:p>
    <w:p>
      <w:pPr>
        <w:spacing w:after="60"/>
        <w:jc w:val="both"/>
      </w:pPr>
      <w:r>
        <w:t xml:space="preserve">El impacto es enorme: hace factible entrenar con secuencias/imágenes mucho más largas y con menos memoria, y es la razón por la que los Transformers escalaron a contextos grandes. FlashAttention-2 y -3 optimizan aún más el paralelismo. Es infraestructura invisible pero omnipresente detrás de casi todos los modelos vistos (ViT, DETR, VLMs, DiT).</w:t>
      </w:r>
    </w:p>
    <w:p>
      <w:pPr>
        <w:pBdr>
          <w:bottom w:val="single" w:color="DDDDDD" w:sz="4" w:space="6"/>
        </w:pBdr>
        <w:spacing w:after="100"/>
      </w:pPr>
      <w:r>
        <w:rPr>
          <w:i/>
          <w:iCs/>
          <w:color w:val="777777"/>
          <w:sz w:val="18"/>
          <w:szCs w:val="18"/>
        </w:rPr>
        <w:t xml:space="preserve">Fuente: Dao et al. (2022) arXiv:2205.14135; FlashAttention-2: Dao (2023) arXiv:2307.08691.</w:t>
      </w:r>
    </w:p>
    <w:p>
      <w:pPr>
        <w:keepNext/>
        <w:spacing w:after="40" w:before="140"/>
      </w:pPr>
      <w:r>
        <w:rPr>
          <w:b/>
          <w:bCs/>
          <w:color w:val="1F3864"/>
          <w:sz w:val="24"/>
          <w:szCs w:val="24"/>
        </w:rPr>
        <w:t xml:space="preserve">Mamba y State Space Models (SSM)</w:t>
      </w:r>
    </w:p>
    <w:p>
      <w:pPr>
        <w:spacing w:after="60"/>
        <w:jc w:val="both"/>
      </w:pPr>
      <w:r>
        <w:t xml:space="preserve">Mamba es la alternativa más prominente a la atención para modelar secuencias. Se basa en modelos de espacio de estados (SSM), que procesan la secuencia con una recurrencia lineal (un estado latente que se actualiza token a token), logrando complejidad lineal O(n) en la longitud —frente al O(n²) del Transformer— y memoria constante en inferencia. Su innovación es hacer los parámetros del SSM dependientes de la entrada ('selectivos'), lo que le permite decidir qué recordar y qué olvidar, recuperando gran parte de la expresividad de la atención.</w:t>
      </w:r>
    </w:p>
    <w:p>
      <w:pPr>
        <w:spacing w:after="60"/>
        <w:jc w:val="both"/>
      </w:pPr>
      <w:r>
        <w:t xml:space="preserve">Además se implementa con un scan paralelo eficiente en hardware, por lo que entrena rápido pese a ser recurrente. Es especialmente atractivo para secuencias muy largas (audio, genómica, video de alta resolución) donde el costo cuadrático de la atención es prohibitivo.</w:t>
      </w:r>
    </w:p>
    <w:p>
      <w:pPr>
        <w:pBdr>
          <w:bottom w:val="single" w:color="DDDDDD" w:sz="4" w:space="6"/>
        </w:pBdr>
        <w:spacing w:after="100"/>
      </w:pPr>
      <w:r>
        <w:rPr>
          <w:i/>
          <w:iCs/>
          <w:color w:val="777777"/>
          <w:sz w:val="18"/>
          <w:szCs w:val="18"/>
        </w:rPr>
        <w:t xml:space="preserve">Fuente: Gu &amp; Dao (2023), Mamba: Linear-Time Sequence Modeling with Selective State Spaces, arXiv:2312.00752.</w:t>
      </w:r>
    </w:p>
    <w:p>
      <w:pPr>
        <w:keepNext/>
        <w:spacing w:after="40" w:before="140"/>
      </w:pPr>
      <w:r>
        <w:rPr>
          <w:b/>
          <w:bCs/>
          <w:color w:val="1F3864"/>
          <w:sz w:val="24"/>
          <w:szCs w:val="24"/>
        </w:rPr>
        <w:t xml:space="preserve">Vision Mamba (Vim) y VMamba</w:t>
      </w:r>
    </w:p>
    <w:p>
      <w:pPr>
        <w:spacing w:after="60"/>
        <w:jc w:val="both"/>
      </w:pPr>
      <w:r>
        <w:t xml:space="preserve">Adaptan los SSM a imágenes. El reto es que un SSM es intrínsecamente 1D y causal, mientras que una imagen es 2D y no ordenada. Vision Mamba (Vim) resuelve esto con bloques bidireccionales (escanea la secuencia de parches en ambos sentidos), y VMamba introduce un 'Cross-Scan' 2D que recorre la imagen en cuatro direcciones y fusiona los resultados, dándole a cada parche un campo receptivo global con costo lineal.</w:t>
      </w:r>
    </w:p>
    <w:p>
      <w:pPr>
        <w:spacing w:after="60"/>
        <w:jc w:val="both"/>
      </w:pPr>
      <w:r>
        <w:t xml:space="preserve">Logran precisión competitiva con los ViT en clasificación, detección y segmentación, pero con mejor escalado a alta resolución —justamente el régimen donde la atención global O(n²) se vuelve cara. Representan la exploración de arquitecturas post-Transformer para visión.</w:t>
      </w:r>
    </w:p>
    <w:p>
      <w:pPr>
        <w:pBdr>
          <w:bottom w:val="single" w:color="DDDDDD" w:sz="4" w:space="6"/>
        </w:pBdr>
        <w:spacing w:after="100"/>
      </w:pPr>
      <w:r>
        <w:rPr>
          <w:i/>
          <w:iCs/>
          <w:color w:val="777777"/>
          <w:sz w:val="18"/>
          <w:szCs w:val="18"/>
        </w:rPr>
        <w:t xml:space="preserve">Fuente: Vim: Zhu et al. (2024) arXiv:2401.09417; VMamba: Liu et al. (2024) arXiv:2401.10166.</w:t>
      </w:r>
    </w:p>
    <w:p>
      <w:pPr>
        <w:keepNext/>
        <w:spacing w:after="40" w:before="140"/>
      </w:pPr>
      <w:r>
        <w:rPr>
          <w:b/>
          <w:bCs/>
          <w:color w:val="1F3864"/>
          <w:sz w:val="24"/>
          <w:szCs w:val="24"/>
        </w:rPr>
        <w:t xml:space="preserve">ViTs eficientes para edge: MobileViT, EfficientViT, FastViT</w:t>
      </w:r>
    </w:p>
    <w:p>
      <w:pPr>
        <w:spacing w:after="60"/>
        <w:jc w:val="both"/>
      </w:pPr>
      <w:r>
        <w:t xml:space="preserve">Son híbridos CNN-Transformer diseñados para móviles y tiempo real, atacando el costo de la atención global. MobileViT intercala bloques convolucionales (que aportan sesgo inductivo local y eficiencia) con bloques Transformer aplicados a nivel de parche para el contexto global. EfficientViT (MIT) usa atención lineal (softmax reemplazado por un kernel) para lograr complejidad lineal y alto throughput. FastViT (Apple) introduce reparametrización estructural: entrena con ramas extra que se fusionan en una sola en inferencia, ganando precisión sin costo de latencia.</w:t>
      </w:r>
    </w:p>
    <w:p>
      <w:pPr>
        <w:spacing w:after="60"/>
        <w:jc w:val="both"/>
      </w:pPr>
      <w:r>
        <w:t xml:space="preserve">Son la respuesta a la 'regla práctica' del curso (edge/tiempo real → preferir CNN o CNN + atención ligera): traen parte del poder de los ViT a dispositivos con recursos limitados, complementando a MobileNet/EfficientNet.</w:t>
      </w:r>
    </w:p>
    <w:p>
      <w:pPr>
        <w:pBdr>
          <w:bottom w:val="single" w:color="DDDDDD" w:sz="4" w:space="6"/>
        </w:pBdr>
        <w:spacing w:after="100"/>
      </w:pPr>
      <w:r>
        <w:rPr>
          <w:i/>
          <w:iCs/>
          <w:color w:val="777777"/>
          <w:sz w:val="18"/>
          <w:szCs w:val="18"/>
        </w:rPr>
        <w:t xml:space="preserve">Fuente: MobileViT: Mehta &amp; Rastegari (2021) arXiv:2110.02178; EfficientViT: Cai et al. (2023) arXiv:2205.14756; FastViT: Vasu et al. (2023) arXiv:2303.14189.</w:t>
      </w:r>
    </w:p>
    <w:p>
      <w:pPr>
        <w:pStyle w:val="Heading1"/>
        <w:spacing w:after="140" w:before="220"/>
      </w:pPr>
      <w:r>
        <w:rPr>
          <w:b/>
          <w:bCs/>
        </w:rPr>
        <w:t xml:space="preserve">8. Visión 3D, profundidad, flujo óptico y pose</w:t>
      </w:r>
    </w:p>
    <w:p>
      <w:pPr>
        <w:keepNext/>
        <w:spacing w:after="40" w:before="140"/>
      </w:pPr>
      <w:r>
        <w:rPr>
          <w:b/>
          <w:bCs/>
          <w:color w:val="1F3864"/>
          <w:sz w:val="24"/>
          <w:szCs w:val="24"/>
        </w:rPr>
        <w:t xml:space="preserve">NeRF (Neural Radiance Fields)</w:t>
      </w:r>
    </w:p>
    <w:p>
      <w:pPr>
        <w:spacing w:after="60"/>
        <w:jc w:val="both"/>
      </w:pPr>
      <w:r>
        <w:t xml:space="preserve">NeRF representa una escena 3D como una función continua implementada por un MLP: dado un punto 3D (x,y,z) y una dirección de vista (θ,φ), devuelve color RGB y densidad. Para renderizar un píxel se lanza un rayo, se muestrean puntos a lo largo de él, se consulta el MLP y se compone el color por 'volume rendering' diferenciable. Como todo el pipeline es diferenciable, se optimiza el MLP para que las vistas renderizadas coincidan con un conjunto de fotos de entrada, aprendiendo implícitamente la geometría y la apariencia.</w:t>
      </w:r>
    </w:p>
    <w:p>
      <w:pPr>
        <w:spacing w:after="60"/>
        <w:jc w:val="both"/>
      </w:pPr>
      <w:r>
        <w:t xml:space="preserve">El resultado es síntesis de vistas nuevas fotorealista, incluyendo efectos dependientes del ángulo (reflejos, especularidades). NeRF inició el campo del 'neural rendering'; sus limitaciones —entrenamiento y render lentos, una red por escena— motivaron una avalancha de variantes y, sobre todo, el 3D Gaussian Splatting.</w:t>
      </w:r>
    </w:p>
    <w:p>
      <w:pPr>
        <w:pBdr>
          <w:bottom w:val="single" w:color="DDDDDD" w:sz="4" w:space="6"/>
        </w:pBdr>
        <w:spacing w:after="100"/>
      </w:pPr>
      <w:r>
        <w:rPr>
          <w:i/>
          <w:iCs/>
          <w:color w:val="777777"/>
          <w:sz w:val="18"/>
          <w:szCs w:val="18"/>
        </w:rPr>
        <w:t xml:space="preserve">Fuente: Mildenhall et al. (2020), NeRF: Representing Scenes as Neural Radiance Fields for View Synthesis, ECCV — arXiv:2003.08934.</w:t>
      </w:r>
    </w:p>
    <w:p>
      <w:pPr>
        <w:keepNext/>
        <w:spacing w:after="40" w:before="140"/>
      </w:pPr>
      <w:r>
        <w:rPr>
          <w:b/>
          <w:bCs/>
          <w:color w:val="1F3864"/>
          <w:sz w:val="24"/>
          <w:szCs w:val="24"/>
        </w:rPr>
        <w:t xml:space="preserve">3D Gaussian Splatting</w:t>
      </w:r>
    </w:p>
    <w:p>
      <w:pPr>
        <w:spacing w:after="60"/>
        <w:jc w:val="both"/>
      </w:pPr>
      <w:r>
        <w:t xml:space="preserve">Es el sucesor práctico de NeRF y el estándar de facto desde 2023. En vez de un MLP implícito, representa la escena explícitamente con millones de gaussianas 3D anisotrópicas, cada una con posición, covarianza (forma/orientación), color (armónicos esféricos, para el efecto de vista) y opacidad. El renderizado proyecta ('splat') esas gaussianas al plano de imagen y las mezcla con un rasterizador diferenciable por tiles, extremadamente rápido en GPU.</w:t>
      </w:r>
    </w:p>
    <w:p>
      <w:pPr>
        <w:spacing w:after="60"/>
        <w:jc w:val="both"/>
      </w:pPr>
      <w:r>
        <w:t xml:space="preserve">Frente a NeRF logra renderizado en tiempo real (cientos de FPS) y entrenamiento mucho más veloz, con calidad igual o superior. Al ser explícito es fácil de editar y componer, lo que disparó su uso en captura 3D, avatares, realidad virtual/aumentada y robótica. Es probablemente el avance de reconstrucción 3D más influyente de los últimos años.</w:t>
      </w:r>
    </w:p>
    <w:p>
      <w:pPr>
        <w:pBdr>
          <w:bottom w:val="single" w:color="DDDDDD" w:sz="4" w:space="6"/>
        </w:pBdr>
        <w:spacing w:after="100"/>
      </w:pPr>
      <w:r>
        <w:rPr>
          <w:i/>
          <w:iCs/>
          <w:color w:val="777777"/>
          <w:sz w:val="18"/>
          <w:szCs w:val="18"/>
        </w:rPr>
        <w:t xml:space="preserve">Fuente: Kerbl et al. (2023), 3D Gaussian Splatting for Real-Time Radiance Field Rendering, SIGGRAPH — arXiv:2308.04079.</w:t>
      </w:r>
    </w:p>
    <w:p>
      <w:pPr>
        <w:keepNext/>
        <w:spacing w:after="40" w:before="140"/>
      </w:pPr>
      <w:r>
        <w:rPr>
          <w:b/>
          <w:bCs/>
          <w:color w:val="1F3864"/>
          <w:sz w:val="24"/>
          <w:szCs w:val="24"/>
        </w:rPr>
        <w:t xml:space="preserve">Depth Anything (profundidad monocular zero-shot)</w:t>
      </w:r>
    </w:p>
    <w:p>
      <w:pPr>
        <w:spacing w:after="60"/>
        <w:jc w:val="both"/>
      </w:pPr>
      <w:r>
        <w:t xml:space="preserve">Estima profundidad a partir de una sola imagen y generaliza a escenas arbitrarias sin fine-tuning. La clave de V1 fue escalar los datos: entrenar sobre ~62M de imágenes sin etiqueta usando pseudo-etiquetas de un modelo teacher, con aumentaciones fuertes que fuerzan robustez. Depth Anything V2 mejora la receta reemplazando las imágenes reales etiquetadas por imágenes sintéticas (etiquetas de profundidad perfectas), agrandando el teacher y destilando a los students vía un gran conjunto de imágenes reales pseudo-etiquetadas; ofrece modelos de 25M a 1.3B de parámetros.</w:t>
      </w:r>
    </w:p>
    <w:p>
      <w:pPr>
        <w:spacing w:after="60"/>
        <w:jc w:val="both"/>
      </w:pPr>
      <w:r>
        <w:t xml:space="preserve">Produce mapas de profundidad finos y robustos, es &gt;10× más rápido que los enfoques basados en Stable Diffusion, y se usa masivamente como prior geométrico en generación condicionada (ControlNet-depth), edición, robótica y realidad aumentada. Ejemplo paradigmático de cómo el escalado de datos (con pseudo-etiquetas) resuelve una tarea clásica de visión.</w:t>
      </w:r>
    </w:p>
    <w:p>
      <w:pPr>
        <w:pBdr>
          <w:bottom w:val="single" w:color="DDDDDD" w:sz="4" w:space="6"/>
        </w:pBdr>
        <w:spacing w:after="100"/>
      </w:pPr>
      <w:r>
        <w:rPr>
          <w:i/>
          <w:iCs/>
          <w:color w:val="777777"/>
          <w:sz w:val="18"/>
          <w:szCs w:val="18"/>
        </w:rPr>
        <w:t xml:space="preserve">Fuente: Yang et al. (2024), Depth Anything, CVPR — arXiv:2401.10891; Depth Anything V2 — arXiv:2406.09414.</w:t>
      </w:r>
    </w:p>
    <w:p>
      <w:pPr>
        <w:keepNext/>
        <w:spacing w:after="40" w:before="140"/>
      </w:pPr>
      <w:r>
        <w:rPr>
          <w:b/>
          <w:bCs/>
          <w:color w:val="1F3864"/>
          <w:sz w:val="24"/>
          <w:szCs w:val="24"/>
        </w:rPr>
        <w:t xml:space="preserve">RAFT (optical flow) y ViTPose (estimación de pose)</w:t>
      </w:r>
    </w:p>
    <w:p>
      <w:pPr>
        <w:spacing w:after="60"/>
        <w:jc w:val="both"/>
      </w:pPr>
      <w:r>
        <w:t xml:space="preserve">RAFT es la arquitectura de referencia para flujo óptico (el campo de movimiento denso píxel a píxel entre dos frames, base de tracking, estabilización y video). Construye un volumen de correlación 4D entre todos los pares de píxeles y lo refina con un operador recurrente tipo GRU que 'busca' iterativamente la correspondencia, logrando alta precisión y buena generalización.</w:t>
      </w:r>
    </w:p>
    <w:p>
      <w:pPr>
        <w:spacing w:after="60"/>
        <w:jc w:val="both"/>
      </w:pPr>
      <w:r>
        <w:t xml:space="preserve">ViTPose muestra que, para estimación de pose humana (detectar keypoints del cuerpo), un ViT plano usado como backbone con una cabeza de decodificación simple alcanza el estado del arte, sin diseños específicos de dominio. Ambos amplían el catálogo de tareas densas de visión más allá de la clasificación/detección/segmentación vistas en clase.</w:t>
      </w:r>
    </w:p>
    <w:p>
      <w:pPr>
        <w:pBdr>
          <w:bottom w:val="single" w:color="DDDDDD" w:sz="4" w:space="6"/>
        </w:pBdr>
        <w:spacing w:after="100"/>
      </w:pPr>
      <w:r>
        <w:rPr>
          <w:i/>
          <w:iCs/>
          <w:color w:val="777777"/>
          <w:sz w:val="18"/>
          <w:szCs w:val="18"/>
        </w:rPr>
        <w:t xml:space="preserve">Fuente: RAFT: Teed &amp; Deng (2020), ECCV — arXiv:2003.12039; ViTPose: Xu et al. (2022), NeurIPS — arXiv:2204.12484.</w:t>
      </w:r>
    </w:p>
    <w:p>
      <w:pPr>
        <w:pStyle w:val="Heading1"/>
        <w:spacing w:after="140" w:before="220"/>
      </w:pPr>
      <w:r>
        <w:rPr>
          <w:b/>
          <w:bCs/>
        </w:rPr>
        <w:t xml:space="preserve">9. Tokenización visual y generación autoregresiva</w:t>
      </w:r>
    </w:p>
    <w:p>
      <w:pPr>
        <w:keepNext/>
        <w:spacing w:after="40" w:before="140"/>
      </w:pPr>
      <w:r>
        <w:rPr>
          <w:b/>
          <w:bCs/>
          <w:color w:val="1F3864"/>
          <w:sz w:val="24"/>
          <w:szCs w:val="24"/>
        </w:rPr>
        <w:t xml:space="preserve">VQ-VAE y VQGAN (tokens discretos de imagen)</w:t>
      </w:r>
    </w:p>
    <w:p>
      <w:pPr>
        <w:spacing w:after="60"/>
        <w:jc w:val="both"/>
      </w:pPr>
      <w:r>
        <w:t xml:space="preserve">Permiten representar una imagen como una secuencia de tokens discretos, análogos a palabras, habilitando modelarla con técnicas de lenguaje. VQ-VAE aprende un codebook (diccionario de vectores) y una cuantización vectorial: el encoder produce un mapa de features que se 'redondea' al vector más cercano del codebook, y el decoder reconstruye desde esos índices. VQGAN mejora la fidelidad añadiendo una pérdida adversaria (discriminador) y una pérdida perceptual, logrando tokens de alta calidad con codebooks compactos.</w:t>
      </w:r>
    </w:p>
    <w:p>
      <w:pPr>
        <w:spacing w:after="60"/>
        <w:jc w:val="both"/>
      </w:pPr>
      <w:r>
        <w:t xml:space="preserve">Esta tokenización es la base de la generación autoregresiva de imágenes (predecir el siguiente token con un Transformer tipo GPT) y del componente latente de muchos modelos texto-a-imagen y multimodales unificados. Conecta la visión con el paradigma de los LLM.</w:t>
      </w:r>
    </w:p>
    <w:p>
      <w:pPr>
        <w:pBdr>
          <w:bottom w:val="single" w:color="DDDDDD" w:sz="4" w:space="6"/>
        </w:pBdr>
        <w:spacing w:after="100"/>
      </w:pPr>
      <w:r>
        <w:rPr>
          <w:i/>
          <w:iCs/>
          <w:color w:val="777777"/>
          <w:sz w:val="18"/>
          <w:szCs w:val="18"/>
        </w:rPr>
        <w:t xml:space="preserve">Fuente: VQ-VAE: van den Oord et al. (2017) arXiv:1711.00937; VQGAN: Esser et al. (2020), CVPR 2021 — arXiv:2012.09841.</w:t>
      </w:r>
    </w:p>
    <w:p>
      <w:pPr>
        <w:keepNext/>
        <w:spacing w:after="40" w:before="140"/>
      </w:pPr>
      <w:r>
        <w:rPr>
          <w:b/>
          <w:bCs/>
          <w:color w:val="1F3864"/>
          <w:sz w:val="24"/>
          <w:szCs w:val="24"/>
        </w:rPr>
        <w:t xml:space="preserve">VAR — Visual Autoregressive Modeling</w:t>
      </w:r>
    </w:p>
    <w:p>
      <w:pPr>
        <w:spacing w:after="60"/>
        <w:jc w:val="both"/>
      </w:pPr>
      <w:r>
        <w:t xml:space="preserve">VAR (Best Paper de NeurIPS 2024) redefine la generación autoregresiva de imágenes como predicción 'next-scale' (de resolución gruesa a fina) en lugar de 'next-token' en orden raster. El modelo genera primero un mapa de tokens de baja resolución y va prediciendo mapas de resolución creciente, condicionando cada escala en las anteriores; esto respeta la estructura 2D de la imagen y permite paralelismo dentro de cada escala.</w:t>
      </w:r>
    </w:p>
    <w:p>
      <w:pPr>
        <w:spacing w:after="60"/>
        <w:jc w:val="both"/>
      </w:pPr>
      <w:r>
        <w:t xml:space="preserve">Es el primer modelo autoregresivo tipo GPT que supera a los Diffusion Transformers en generación de imágenes: en ImageNet 256×256 mejora el FID de 18.65 a 1.73 con ~20× menos tiempo de inferencia, y exhibe leyes de escala y generalización zero-shot al estilo de los LLM. Marca un renacimiento de la generación autoregresiva frente a la difusión.</w:t>
      </w:r>
    </w:p>
    <w:p>
      <w:pPr>
        <w:pBdr>
          <w:bottom w:val="single" w:color="DDDDDD" w:sz="4" w:space="6"/>
        </w:pBdr>
        <w:spacing w:after="100"/>
      </w:pPr>
      <w:r>
        <w:rPr>
          <w:i/>
          <w:iCs/>
          <w:color w:val="777777"/>
          <w:sz w:val="18"/>
          <w:szCs w:val="18"/>
        </w:rPr>
        <w:t xml:space="preserve">Fuente: Tian et al. (2024), Visual Autoregressive Modeling, NeurIPS 2024 (Best Paper) — arXiv:2404.02905.</w:t>
      </w:r>
    </w:p>
    <w:p>
      <w:pPr>
        <w:pStyle w:val="Heading1"/>
        <w:spacing w:after="140" w:before="220"/>
      </w:pPr>
      <w:r>
        <w:rPr>
          <w:b/>
          <w:bCs/>
        </w:rPr>
        <w:t xml:space="preserve">10. Despliegue, compresión y eficiencia en producción</w:t>
      </w:r>
    </w:p>
    <w:p>
      <w:pPr>
        <w:keepNext/>
        <w:spacing w:after="40" w:before="140"/>
      </w:pPr>
      <w:r>
        <w:rPr>
          <w:b/>
          <w:bCs/>
          <w:color w:val="1F3864"/>
          <w:sz w:val="24"/>
          <w:szCs w:val="24"/>
        </w:rPr>
        <w:t xml:space="preserve">Cuantización (INT8/FP16, PTQ vs QAT)</w:t>
      </w:r>
    </w:p>
    <w:p>
      <w:pPr>
        <w:spacing w:after="60"/>
        <w:jc w:val="both"/>
      </w:pPr>
      <w:r>
        <w:t xml:space="preserve">La cuantización reduce la precisión numérica de pesos y activaciones (de FP32 a FP16, INT8 o menos) para acelerar la inferencia, bajar la memoria y el consumo, algo esencial para edge y tiempo real (recordar el half=True del benchmark YOLO11 de la Clase 7). Hay dos familias: Post-Training Quantization (PTQ), que cuantiza un modelo ya entrenado usando un pequeño set de calibración para estimar los rangos, sin reentrenar (rápido pero puede perder precisión); y Quantization-Aware Training (QAT), que simula la cuantización durante el entrenamiento (fake quantization) para que el modelo se adapte, preservando mejor la precisión a costa de reentrenar.</w:t>
      </w:r>
    </w:p>
    <w:p>
      <w:pPr>
        <w:spacing w:after="60"/>
        <w:jc w:val="both"/>
      </w:pPr>
      <w:r>
        <w:t xml:space="preserve">La cuantización a INT8 suele dar ~2–4× de aceleración con pérdida mínima de precisión en CNNs; los esquemas más agresivos (INT4, técnicas tipo GPTQ/AWQ importadas de LLMs) empujan aún más. Es la técnica de compresión más usada en producción.</w:t>
      </w:r>
    </w:p>
    <w:p>
      <w:pPr>
        <w:pBdr>
          <w:bottom w:val="single" w:color="DDDDDD" w:sz="4" w:space="6"/>
        </w:pBdr>
        <w:spacing w:after="100"/>
      </w:pPr>
      <w:r>
        <w:rPr>
          <w:i/>
          <w:iCs/>
          <w:color w:val="777777"/>
          <w:sz w:val="18"/>
          <w:szCs w:val="18"/>
        </w:rPr>
        <w:t xml:space="preserve">Fuente: Jacob et al. (2017), Quantization and Training of Neural Networks for Efficient Integer-Arithmetic-Only Inference, CVPR 2018 — arXiv:1712.05877.</w:t>
      </w:r>
    </w:p>
    <w:p>
      <w:pPr>
        <w:keepNext/>
        <w:spacing w:after="40" w:before="140"/>
      </w:pPr>
      <w:r>
        <w:rPr>
          <w:b/>
          <w:bCs/>
          <w:color w:val="1F3864"/>
          <w:sz w:val="24"/>
          <w:szCs w:val="24"/>
        </w:rPr>
        <w:t xml:space="preserve">Pruning estructurado y runtimes de inferencia</w:t>
      </w:r>
    </w:p>
    <w:p>
      <w:pPr>
        <w:spacing w:after="60"/>
        <w:jc w:val="both"/>
      </w:pPr>
      <w:r>
        <w:t xml:space="preserve">El pruning elimina parámetros redundantes; el estructurado quita canales, filtros o cabezas completas (no pesos sueltos), de modo que el modelo resultante es realmente más pequeño y rápido en hardware convencional, a diferencia del pruning no estructurado que produce matrices dispersas difíciles de acelerar. Se combina con la knowledge distillation vista en clase para recuperar precisión tras podar.</w:t>
      </w:r>
    </w:p>
    <w:p>
      <w:pPr>
        <w:spacing w:after="60"/>
        <w:jc w:val="both"/>
      </w:pPr>
      <w:r>
        <w:t xml:space="preserve">El despliegue eficiente se apoya además en runtimes optimizados que aplican fusión de operadores, selección de kernels y las cuantizaciones anteriores: ONNX Runtime (portabilidad entre frameworks y hardware), NVIDIA TensorRT (GPUs NVIDIA), Intel OpenVINO (CPU/iGPU) y TFLite/ExecuTorch/Core ML para móviles. Convertir un modelo PyTorch a ONNX y luego a un runtime del dispositivo objetivo es el flujo estándar de puesta en producción.</w:t>
      </w:r>
    </w:p>
    <w:p>
      <w:pPr>
        <w:pBdr>
          <w:bottom w:val="single" w:color="DDDDDD" w:sz="4" w:space="6"/>
        </w:pBdr>
        <w:spacing w:after="100"/>
      </w:pPr>
      <w:r>
        <w:rPr>
          <w:i/>
          <w:iCs/>
          <w:color w:val="777777"/>
          <w:sz w:val="18"/>
          <w:szCs w:val="18"/>
        </w:rPr>
        <w:t xml:space="preserve">Fuente: Pruning: Li et al. (2016), Pruning Filters for Efficient ConvNets, ICLR 2017 — arXiv:1608.08710; runtimes: documentación ONNX Runtime / NVIDIA TensorRT / Intel OpenVINO.</w:t>
      </w:r>
    </w:p>
    <w:p>
      <w:pPr>
        <w:pStyle w:val="Heading1"/>
        <w:spacing w:after="140" w:before="220"/>
      </w:pPr>
      <w:r>
        <w:rPr>
          <w:b/>
          <w:bCs/>
        </w:rPr>
        <w:t xml:space="preserve">11. Robustez, aumentación de datos y evaluación</w:t>
      </w:r>
    </w:p>
    <w:p>
      <w:pPr>
        <w:keepNext/>
        <w:spacing w:after="40" w:before="140"/>
      </w:pPr>
      <w:r>
        <w:rPr>
          <w:b/>
          <w:bCs/>
          <w:color w:val="1F3864"/>
          <w:sz w:val="24"/>
          <w:szCs w:val="24"/>
        </w:rPr>
        <w:t xml:space="preserve">Ejemplos adversarios y robustez</w:t>
      </w:r>
    </w:p>
    <w:p>
      <w:pPr>
        <w:spacing w:after="60"/>
        <w:jc w:val="both"/>
      </w:pPr>
      <w:r>
        <w:t xml:space="preserve">Un ejemplo adversario es una entrada con una perturbación imperceptible para el humano, diseñada para que el modelo la clasifique mal con alta confianza. El ataque clásico FGSM da un paso en la dirección del gradiente de la pérdida respecto a la entrada; PGD lo itera con proyección y es el ataque de referencia. Esto revela que las fronteras de decisión aprendidas son frágiles fuera de la distribución de entrenamiento.</w:t>
      </w:r>
    </w:p>
    <w:p>
      <w:pPr>
        <w:spacing w:after="60"/>
        <w:jc w:val="both"/>
      </w:pPr>
      <w:r>
        <w:t xml:space="preserve">La defensa de referencia es el 'adversarial training' (entrenar con ejemplos adversarios generados online), que aumenta la robustez a costa de algo de precisión limpia. Es un tema crítico para sistemas de seguridad (conducción autónoma, biometría, moderación) y un recordatorio de que buena accuracy no implica robustez.</w:t>
      </w:r>
    </w:p>
    <w:p>
      <w:pPr>
        <w:pBdr>
          <w:bottom w:val="single" w:color="DDDDDD" w:sz="4" w:space="6"/>
        </w:pBdr>
        <w:spacing w:after="100"/>
      </w:pPr>
      <w:r>
        <w:rPr>
          <w:i/>
          <w:iCs/>
          <w:color w:val="777777"/>
          <w:sz w:val="18"/>
          <w:szCs w:val="18"/>
        </w:rPr>
        <w:t xml:space="preserve">Fuente: FGSM: Goodfellow et al. (2014) arXiv:1412.6572; PGD/adversarial training: Madry et al. (2017) arXiv:1706.06083.</w:t>
      </w:r>
    </w:p>
    <w:p>
      <w:pPr>
        <w:keepNext/>
        <w:spacing w:after="40" w:before="140"/>
      </w:pPr>
      <w:r>
        <w:rPr>
          <w:b/>
          <w:bCs/>
          <w:color w:val="1F3864"/>
          <w:sz w:val="24"/>
          <w:szCs w:val="24"/>
        </w:rPr>
        <w:t xml:space="preserve">Aumentación de datos moderna</w:t>
      </w:r>
    </w:p>
    <w:p>
      <w:pPr>
        <w:spacing w:after="60"/>
        <w:jc w:val="both"/>
      </w:pPr>
      <w:r>
        <w:t xml:space="preserve">Va más allá de flips/crops y mejora generalización, calibración y robustez. MixUp entrena con combinaciones convexas de pares de imágenes y de sus etiquetas, suavizando las fronteras de decisión. CutMix recorta una región de una imagen y la pega en otra, ajustando las etiquetas por área, lo que combina localización y regularización. RandAugment elimina la búsqueda costosa de políticas (AutoAugment) aplicando N transformaciones aleatorias con una magnitud global, con solo dos hiperparámetros. Mosaic (popularizado por YOLO) une cuatro imágenes en una, exponiendo al modelo a muchos objetos, escalas y contextos por muestra.</w:t>
      </w:r>
    </w:p>
    <w:p>
      <w:pPr>
        <w:spacing w:after="60"/>
        <w:jc w:val="both"/>
      </w:pPr>
      <w:r>
        <w:t xml:space="preserve">Estas técnicas son de bajo costo y alto impacto, y son parte estándar de las recetas de entrenamiento modernas tanto para CNNs como para ViTs (que dependen aún más de aumentación fuerte por su débil sesgo inductivo, como se vio en el curso).</w:t>
      </w:r>
    </w:p>
    <w:p>
      <w:pPr>
        <w:pBdr>
          <w:bottom w:val="single" w:color="DDDDDD" w:sz="4" w:space="6"/>
        </w:pBdr>
        <w:spacing w:after="100"/>
      </w:pPr>
      <w:r>
        <w:rPr>
          <w:i/>
          <w:iCs/>
          <w:color w:val="777777"/>
          <w:sz w:val="18"/>
          <w:szCs w:val="18"/>
        </w:rPr>
        <w:t xml:space="preserve">Fuente: MixUp: Zhang et al. (2017) arXiv:1710.09412; CutMix: Yun et al. (2019) arXiv:1905.04899; RandAugment: Cubuk et al. (2019) arXiv:1909.13719.</w:t>
      </w:r>
    </w:p>
    <w:p>
      <w:pPr>
        <w:keepNext/>
        <w:spacing w:after="40" w:before="140"/>
      </w:pPr>
      <w:r>
        <w:rPr>
          <w:b/>
          <w:bCs/>
          <w:color w:val="1F3864"/>
          <w:sz w:val="24"/>
          <w:szCs w:val="24"/>
        </w:rPr>
        <w:t xml:space="preserve">Métricas para modelos generativos</w:t>
      </w:r>
    </w:p>
    <w:p>
      <w:pPr>
        <w:spacing w:after="60"/>
        <w:jc w:val="both"/>
      </w:pPr>
      <w:r>
        <w:t xml:space="preserve">Las métricas de detección vistas en clase (IoU, mAP) no sirven para evaluar generación. FID (Fréchet Inception Distance) compara las distribuciones de features (de una red Inception) de imágenes reales y generadas ajustando gaussianas y midiendo su distancia: más bajo es mejor, y captura tanto fidelidad como diversidad. El Inception Score (IS) mide nitidez y variedad pero es más limitado. LPIPS mide similitud perceptual entre dos imágenes usando features profundas, útil para reconstrucción/edición. CLIPScore mide la alineación imagen-texto (similitud coseno de embeddings CLIP), clave para evaluar la adherencia al prompt en texto-a-imagen.</w:t>
      </w:r>
    </w:p>
    <w:p>
      <w:pPr>
        <w:spacing w:after="60"/>
        <w:jc w:val="both"/>
      </w:pPr>
      <w:r>
        <w:t xml:space="preserve">Conocer sus supuestos y limitaciones (por ejemplo, FID depende del extractor y del número de muestras; CLIPScore hereda los sesgos de CLIP) es esencial para reportar generación de forma honesta, igual que se discutió la elección de métrica según la tarea en la Clase 3.</w:t>
      </w:r>
    </w:p>
    <w:p>
      <w:pPr>
        <w:pBdr>
          <w:bottom w:val="single" w:color="DDDDDD" w:sz="4" w:space="6"/>
        </w:pBdr>
        <w:spacing w:after="100"/>
      </w:pPr>
      <w:r>
        <w:rPr>
          <w:i/>
          <w:iCs/>
          <w:color w:val="777777"/>
          <w:sz w:val="18"/>
          <w:szCs w:val="18"/>
        </w:rPr>
        <w:t xml:space="preserve">Fuente: FID: Heusel et al. (2017) arXiv:1706.08500; LPIPS: Zhang et al. (2018) arXiv:1801.03924; CLIPScore: Hessel et al. (2021) arXiv:2104.08718.</w:t>
      </w:r>
    </w:p>
    <w:p>
      <w:pPr>
        <w:pStyle w:val="Heading1"/>
        <w:spacing w:after="140" w:before="220"/>
      </w:pPr>
      <w:r>
        <w:rPr>
          <w:b/>
          <w:bCs/>
        </w:rPr>
        <w:t xml:space="preserve">12. Explicabilidad, IA responsable y visión para robótica</w:t>
      </w:r>
    </w:p>
    <w:p>
      <w:pPr>
        <w:keepNext/>
        <w:spacing w:after="40" w:before="140"/>
      </w:pPr>
      <w:r>
        <w:rPr>
          <w:b/>
          <w:bCs/>
          <w:color w:val="1F3864"/>
          <w:sz w:val="24"/>
          <w:szCs w:val="24"/>
        </w:rPr>
        <w:t xml:space="preserve">Explicabilidad: Grad-CAM y attention rollout</w:t>
      </w:r>
    </w:p>
    <w:p>
      <w:pPr>
        <w:spacing w:after="60"/>
        <w:jc w:val="both"/>
      </w:pPr>
      <w:r>
        <w:t xml:space="preserve">Grad-CAM (mencionado al pasar en el curso) explica una predicción de una CNN produciendo un mapa de calor: pondera los mapas de features de la última capa convolucional por el gradiente de la clase objetivo respecto a ellos, resaltando qué regiones fueron determinantes. Es post-hoc, no requiere reentrenar y sirve para depurar (¿el modelo mira el objeto o un artefacto del fondo?) y auditar sesgos.</w:t>
      </w:r>
    </w:p>
    <w:p>
      <w:pPr>
        <w:spacing w:after="60"/>
        <w:jc w:val="both"/>
      </w:pPr>
      <w:r>
        <w:t xml:space="preserve">Para Transformers, el análogo directo es visualizar los pesos de atención; attention rollout agrega la atención a través de las capas (teniendo en cuenta las conexiones residuales) para estimar cuánto influye cada parche de entrada en la salida. DINO mostró además que la atención de ViTs auto-supervisados segmenta objetos de forma emergente, lo que las vuelve interpretables casi 'gratis'.</w:t>
      </w:r>
    </w:p>
    <w:p>
      <w:pPr>
        <w:pBdr>
          <w:bottom w:val="single" w:color="DDDDDD" w:sz="4" w:space="6"/>
        </w:pBdr>
        <w:spacing w:after="100"/>
      </w:pPr>
      <w:r>
        <w:rPr>
          <w:i/>
          <w:iCs/>
          <w:color w:val="777777"/>
          <w:sz w:val="18"/>
          <w:szCs w:val="18"/>
        </w:rPr>
        <w:t xml:space="preserve">Fuente: Grad-CAM: Selvaraju et al. (2016), ICCV 2017 — arXiv:1610.02391; Attention Rollout: Abnar &amp; Zuidema (2020) arXiv:2005.00928.</w:t>
      </w:r>
    </w:p>
    <w:p>
      <w:pPr>
        <w:keepNext/>
        <w:spacing w:after="40" w:before="140"/>
      </w:pPr>
      <w:r>
        <w:rPr>
          <w:b/>
          <w:bCs/>
          <w:color w:val="1F3864"/>
          <w:sz w:val="24"/>
          <w:szCs w:val="24"/>
        </w:rPr>
        <w:t xml:space="preserve">Sesgo, privacidad y deepfakes</w:t>
      </w:r>
    </w:p>
    <w:p>
      <w:pPr>
        <w:spacing w:after="60"/>
        <w:jc w:val="both"/>
      </w:pPr>
      <w:r>
        <w:t xml:space="preserve">El despliegue de visión sobre personas plantea problemas que no son técnicos sino socio-técnicos. 'Gender Shades' mostró que sistemas comerciales de análisis facial tenían errores mucho mayores en mujeres de piel oscura, evidenciando sesgos por composición desbalanceada de los datasets —directamente relacionado con el 'dataset bias' y las consideraciones éticas mencionadas en la Clase 1. El uso de rostros exige atender consentimiento, minimización de datos y regulación (biometría).</w:t>
      </w:r>
    </w:p>
    <w:p>
      <w:pPr>
        <w:spacing w:after="60"/>
        <w:jc w:val="both"/>
      </w:pPr>
      <w:r>
        <w:t xml:space="preserve">Simétricamente, la madurez de la generación (difusión, GANs) hizo triviales los deepfakes, motivando toda un área de detección de contenido sintético (artefactos de frecuencia, inconsistencias fisiológicas, watermarking como SynthID). Es la contraparte responsable de los sistemas de reconocimiento facial y generación estudiados en el curso.</w:t>
      </w:r>
    </w:p>
    <w:p>
      <w:pPr>
        <w:pBdr>
          <w:bottom w:val="single" w:color="DDDDDD" w:sz="4" w:space="6"/>
        </w:pBdr>
        <w:spacing w:after="100"/>
      </w:pPr>
      <w:r>
        <w:rPr>
          <w:i/>
          <w:iCs/>
          <w:color w:val="777777"/>
          <w:sz w:val="18"/>
          <w:szCs w:val="18"/>
        </w:rPr>
        <w:t xml:space="preserve">Fuente: Buolamwini &amp; Gebru (2018), Gender Shades, FAccT; Verdoliva (2020), Media Forensics and DeepFakes, arXiv:2001.06564.</w:t>
      </w:r>
    </w:p>
    <w:p>
      <w:pPr>
        <w:keepNext/>
        <w:spacing w:after="40" w:before="140"/>
      </w:pPr>
      <w:r>
        <w:rPr>
          <w:b/>
          <w:bCs/>
          <w:color w:val="1F3864"/>
          <w:sz w:val="24"/>
          <w:szCs w:val="24"/>
        </w:rPr>
        <w:t xml:space="preserve">Modelos Visión-Lenguaje-Acción (VLA) para robótica</w:t>
      </w:r>
    </w:p>
    <w:p>
      <w:pPr>
        <w:spacing w:after="60"/>
        <w:jc w:val="both"/>
      </w:pPr>
      <w:r>
        <w:t xml:space="preserve">Los VLA extienden los VLMs para cerrar el lazo percepción-acción: reciben imágenes e instrucciones en lenguaje natural y producen directamente acciones de robot (comandos motores), un pilar de la 'embodied AI'. RT-2 mostró que co-entrenar un VLM con datos web y demostraciones robóticas transfiere conocimiento semántico al control. OpenVLA es la referencia abierta: 7B de parámetros, combina un LLM Llama 2 con encoders visuales DINOv2 + SigLIP, se entrena sobre 970k demostraciones reales y supera a modelos cerrados mucho mayores (RT-2-X de 55B) con 7× menos parámetros.</w:t>
      </w:r>
    </w:p>
    <w:p>
      <w:pPr>
        <w:spacing w:after="60"/>
        <w:jc w:val="both"/>
      </w:pPr>
      <w:r>
        <w:t xml:space="preserve">Reúnen casi todo el temario —encoders de visión auto-supervisados, VLMs, fusión multimodal— orientado a agentes físicos, y señalan una de las fronteras más activas: llevar los foundation models de visión al mundo real y a la manipulación.</w:t>
      </w:r>
    </w:p>
    <w:p>
      <w:pPr>
        <w:pBdr>
          <w:bottom w:val="single" w:color="DDDDDD" w:sz="4" w:space="6"/>
        </w:pBdr>
        <w:spacing w:after="100"/>
      </w:pPr>
      <w:r>
        <w:rPr>
          <w:i/>
          <w:iCs/>
          <w:color w:val="777777"/>
          <w:sz w:val="18"/>
          <w:szCs w:val="18"/>
        </w:rPr>
        <w:t xml:space="preserve">Fuente: RT-2: Brohan et al. (2023) arXiv:2307.15818; OpenVLA: Kim et al. (2024) arXiv:2406.09246.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20"/>
    </w:pPr>
    <w:rPr>
      <w:rFonts w:ascii="Calibri" w:cs="Calibri" w:eastAsia="Calibri" w:hAnsi="Calibri"/>
      <w:b/>
      <w:bCs/>
      <w:color w:val="1F3864"/>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Vision — Temas complementarios</dc:title>
  <dc:creator>Curso CV</dc:creator>
  <cp:lastModifiedBy>Un-named</cp:lastModifiedBy>
  <cp:revision>1</cp:revision>
  <dcterms:created xsi:type="dcterms:W3CDTF">2026-08-03T01:11:52.949Z</dcterms:created>
  <dcterms:modified xsi:type="dcterms:W3CDTF">2026-08-03T01:11:52.950Z</dcterms:modified>
</cp:coreProperties>
</file>

<file path=docProps/custom.xml><?xml version="1.0" encoding="utf-8"?>
<Properties xmlns="http://schemas.openxmlformats.org/officeDocument/2006/custom-properties" xmlns:vt="http://schemas.openxmlformats.org/officeDocument/2006/docPropsVTypes"/>
</file>