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0B1B2E"/>
          <w:spacing w:val="30"/>
          <w:sz w:val="40"/>
          <w:szCs w:val="40"/>
        </w:rPr>
        <w:t xml:space="preserve">BRANDON LATAM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9A7B32"/>
          <w:sz w:val="34"/>
          <w:szCs w:val="34"/>
        </w:rPr>
        <w:t xml:space="preserve">Network</w:t>
      </w:r>
    </w:p>
    <w:p>
      <w:pPr>
        <w:pBdr>
          <w:bottom w:val="single" w:color="C2A15B" w:sz="18" w:space="8"/>
        </w:pBdr>
        <w:spacing w:after="60"/>
      </w:pPr>
      <w:r>
        <w:rPr>
          <w:rFonts w:ascii="Georgia" w:cs="Georgia" w:eastAsia="Georgia" w:hAnsi="Georgia"/>
          <w:b/>
          <w:bCs/>
          <w:color w:val="1F2A37"/>
          <w:sz w:val="30"/>
          <w:szCs w:val="30"/>
        </w:rPr>
        <w:t xml:space="preserve">Catálogo de funcionalidades</w:t>
      </w:r>
    </w:p>
    <w:p>
      <w:pPr>
        <w:spacing w:after="200"/>
      </w:pPr>
      <w:r>
        <w:rPr>
          <w:i/>
          <w:iCs/>
          <w:color w:val="5B6472"/>
          <w:sz w:val="21"/>
          <w:szCs w:val="21"/>
        </w:rPr>
        <w:t xml:space="preserve">Todas las funcionalidades disponibles y previstas para la plataforma, agrupadas por área. La distribución en planes está en la página siguiente.</w:t>
      </w:r>
    </w:p>
    <w:p>
      <w:pPr>
        <w:pBdr>
          <w:bottom w:val="single" w:color="C2A15B" w:sz="10" w:space="6"/>
        </w:pBdr>
        <w:spacing w:after="120" w:before="300"/>
      </w:pPr>
      <w:r>
        <w:rPr>
          <w:rFonts w:ascii="Georgia" w:cs="Georgia" w:eastAsia="Georgia" w:hAnsi="Georgia"/>
          <w:b/>
          <w:bCs/>
          <w:color w:val="0B1B2E"/>
          <w:spacing w:val="20"/>
          <w:sz w:val="24"/>
          <w:szCs w:val="24"/>
        </w:rPr>
        <w:t xml:space="preserve">EL ASISTENTE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Créditos ilimitados o de alto volumen: </w:t>
      </w:r>
      <w:r>
        <w:rPr>
          <w:color w:val="1F2A37"/>
          <w:sz w:val="21"/>
          <w:szCs w:val="21"/>
        </w:rPr>
        <w:t xml:space="preserve">sin el tope de 500 créditos (10 consultas) del plan base.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Modelo más potente (Opus): </w:t>
      </w:r>
      <w:r>
        <w:rPr>
          <w:color w:val="1F2A37"/>
          <w:sz w:val="21"/>
          <w:szCs w:val="21"/>
        </w:rPr>
        <w:t xml:space="preserve">mejores respuestas en consultas legales y fiscales complejas; el base usa Sonnet.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Voz: </w:t>
      </w:r>
      <w:r>
        <w:rPr>
          <w:color w:val="1F2A37"/>
          <w:sz w:val="21"/>
          <w:szCs w:val="21"/>
        </w:rPr>
        <w:t xml:space="preserve">hablarle al asistente y recibir la respuesta por voz, manos libres.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Memoria del cliente: </w:t>
      </w:r>
      <w:r>
        <w:rPr>
          <w:color w:val="1F2A37"/>
          <w:sz w:val="21"/>
          <w:szCs w:val="21"/>
        </w:rPr>
        <w:t xml:space="preserve">recuerda su estructura (LLC, residencia fiscal, etc.) y personaliza sin que reexplique.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Comparador de escenarios: </w:t>
      </w:r>
      <w:r>
        <w:rPr>
          <w:color w:val="1F2A37"/>
          <w:sz w:val="21"/>
          <w:szCs w:val="21"/>
        </w:rPr>
        <w:t xml:space="preserve">por ejemplo LLC en Delaware vs Wyoming, en una tabla lado a lado.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Calculadoras fiscales: </w:t>
      </w:r>
      <w:r>
        <w:rPr>
          <w:color w:val="1F2A37"/>
          <w:sz w:val="21"/>
          <w:szCs w:val="21"/>
        </w:rPr>
        <w:t xml:space="preserve">retención 30% vs tratado, impuesto a la herencia, taxes estimados, conversión con tasas del Tesoro.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Modo experto por área: </w:t>
      </w:r>
      <w:r>
        <w:rPr>
          <w:color w:val="1F2A37"/>
          <w:sz w:val="21"/>
          <w:szCs w:val="21"/>
        </w:rPr>
        <w:t xml:space="preserve">fiscal, sucesorio o corporativo, cada uno con criterio especializado.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Respuesta trilingüe simultánea: </w:t>
      </w:r>
      <w:r>
        <w:rPr>
          <w:color w:val="1F2A37"/>
          <w:sz w:val="21"/>
          <w:szCs w:val="21"/>
        </w:rPr>
        <w:t xml:space="preserve">la misma respuesta en español, inglés y portugués.</w:t>
      </w:r>
    </w:p>
    <w:p>
      <w:pPr>
        <w:pBdr>
          <w:bottom w:val="single" w:color="C2A15B" w:sz="10" w:space="6"/>
        </w:pBdr>
        <w:spacing w:after="120" w:before="300"/>
      </w:pPr>
      <w:r>
        <w:rPr>
          <w:rFonts w:ascii="Georgia" w:cs="Georgia" w:eastAsia="Georgia" w:hAnsi="Georgia"/>
          <w:b/>
          <w:bCs/>
          <w:color w:val="0B1B2E"/>
          <w:spacing w:val="20"/>
          <w:sz w:val="24"/>
          <w:szCs w:val="24"/>
        </w:rPr>
        <w:t xml:space="preserve">INTELIGENCIA Y MONITOREO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Due diligence en un click: </w:t>
      </w:r>
      <w:r>
        <w:rPr>
          <w:color w:val="1F2A37"/>
          <w:sz w:val="21"/>
          <w:szCs w:val="21"/>
        </w:rPr>
        <w:t xml:space="preserve">verifica una empresa, banco o persona corriendo todas las fuentes (SEC, FDIC, OCC, CourtListener, IRS) y arma un informe.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Screening de sanciones / OFAC: </w:t>
      </w:r>
      <w:r>
        <w:rPr>
          <w:color w:val="1F2A37"/>
          <w:sz w:val="21"/>
          <w:szCs w:val="21"/>
        </w:rPr>
        <w:t xml:space="preserve">verifica contrapartes contra listas de sanciones antes de operar.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Watchlist de empresas: </w:t>
      </w:r>
      <w:r>
        <w:rPr>
          <w:color w:val="1F2A37"/>
          <w:sz w:val="21"/>
          <w:szCs w:val="21"/>
        </w:rPr>
        <w:t xml:space="preserve">sigue tickers y recibe noticias, nuevos filings de la SEC y precio.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Monitoreo de litigios: </w:t>
      </w:r>
      <w:r>
        <w:rPr>
          <w:color w:val="1F2A37"/>
          <w:sz w:val="21"/>
          <w:szCs w:val="21"/>
        </w:rPr>
        <w:t xml:space="preserve">aviso si aparece un fallo nuevo que menciona a su empresa o su nombre.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Radar regulatorio personalizado: </w:t>
      </w:r>
      <w:r>
        <w:rPr>
          <w:color w:val="1F2A37"/>
          <w:sz w:val="21"/>
          <w:szCs w:val="21"/>
        </w:rPr>
        <w:t xml:space="preserve">cambios del IRS o la SEC que aplican a su perfil, no genéricos.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Health-check de bancos: </w:t>
      </w:r>
      <w:r>
        <w:rPr>
          <w:color w:val="1F2A37"/>
          <w:sz w:val="21"/>
          <w:szCs w:val="21"/>
        </w:rPr>
        <w:t xml:space="preserve">estado de los bancos donde tiene fondos (FDIC + OCC), con semáforo.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Alerta de tipo de cambio: </w:t>
      </w:r>
      <w:r>
        <w:rPr>
          <w:color w:val="1F2A37"/>
          <w:sz w:val="21"/>
          <w:szCs w:val="21"/>
        </w:rPr>
        <w:t xml:space="preserve">aviso cuando el dólar cruza un umbral definido.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Alertas proactivas: </w:t>
      </w:r>
      <w:r>
        <w:rPr>
          <w:color w:val="1F2A37"/>
          <w:sz w:val="21"/>
          <w:szCs w:val="21"/>
        </w:rPr>
        <w:t xml:space="preserve">vencimiento del W-8BEN a los 3 años, sanciones a su banco, novedades regulatorias.</w:t>
      </w:r>
    </w:p>
    <w:p>
      <w:pPr>
        <w:pBdr>
          <w:bottom w:val="single" w:color="C2A15B" w:sz="10" w:space="6"/>
        </w:pBdr>
        <w:spacing w:after="120" w:before="300"/>
      </w:pPr>
      <w:r>
        <w:rPr>
          <w:rFonts w:ascii="Georgia" w:cs="Georgia" w:eastAsia="Georgia" w:hAnsi="Georgia"/>
          <w:b/>
          <w:bCs/>
          <w:color w:val="0B1B2E"/>
          <w:spacing w:val="20"/>
          <w:sz w:val="24"/>
          <w:szCs w:val="24"/>
        </w:rPr>
        <w:t xml:space="preserve">DOCUMENTOS Y OPERATIVA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Análisis de documentos: </w:t>
      </w:r>
      <w:r>
        <w:rPr>
          <w:color w:val="1F2A37"/>
          <w:sz w:val="21"/>
          <w:szCs w:val="21"/>
        </w:rPr>
        <w:t xml:space="preserve">sube un PDF (1042-S, contrato, statement del broker) y la IA lo explica, extrae datos y marca riesgos.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Redacción con plantillas legales: </w:t>
      </w:r>
      <w:r>
        <w:rPr>
          <w:color w:val="1F2A37"/>
          <w:sz w:val="21"/>
          <w:szCs w:val="21"/>
        </w:rPr>
        <w:t xml:space="preserve">NDA, contratos y cartas al IRS con la marca, con exportación a PDF.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Firma electrónica: </w:t>
      </w:r>
      <w:r>
        <w:rPr>
          <w:color w:val="1F2A37"/>
          <w:sz w:val="21"/>
          <w:szCs w:val="21"/>
        </w:rPr>
        <w:t xml:space="preserve">firmar documentos dentro de la plataforma.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Data room seguro: </w:t>
      </w:r>
      <w:r>
        <w:rPr>
          <w:color w:val="1F2A37"/>
          <w:sz w:val="21"/>
          <w:szCs w:val="21"/>
        </w:rPr>
        <w:t xml:space="preserve">compartir documentos con su abogado o contador, con permisos y vencimiento del enlace.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Bóveda cifrada: </w:t>
      </w:r>
      <w:r>
        <w:rPr>
          <w:color w:val="1F2A37"/>
          <w:sz w:val="21"/>
          <w:szCs w:val="21"/>
        </w:rPr>
        <w:t xml:space="preserve">repositorio de documentos sensibles con registro de accesos.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Carpeta fiscal: </w:t>
      </w:r>
      <w:r>
        <w:rPr>
          <w:color w:val="1F2A37"/>
          <w:sz w:val="21"/>
          <w:szCs w:val="21"/>
        </w:rPr>
        <w:t xml:space="preserve">sus formularios (W-8BEN, 1042-S, transcripts) con estado y vencimientos.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Checklist inteligente: </w:t>
      </w:r>
      <w:r>
        <w:rPr>
          <w:color w:val="1F2A37"/>
          <w:sz w:val="21"/>
          <w:szCs w:val="21"/>
        </w:rPr>
        <w:t xml:space="preserve">por ejemplo 'abrir una LLC' genera los pasos y formularios con seguimiento.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OCR y planilla: </w:t>
      </w:r>
      <w:r>
        <w:rPr>
          <w:color w:val="1F2A37"/>
          <w:sz w:val="21"/>
          <w:szCs w:val="21"/>
        </w:rPr>
        <w:t xml:space="preserve">convierte statements del broker en un Excel automático.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Reporte anual para el contador: </w:t>
      </w:r>
      <w:r>
        <w:rPr>
          <w:color w:val="1F2A37"/>
          <w:sz w:val="21"/>
          <w:szCs w:val="21"/>
        </w:rPr>
        <w:t xml:space="preserve">paquete listo con retenciones, 1042-S y demás.</w:t>
      </w:r>
    </w:p>
    <w:p>
      <w:pPr>
        <w:pBdr>
          <w:bottom w:val="single" w:color="C2A15B" w:sz="10" w:space="6"/>
        </w:pBdr>
        <w:spacing w:after="120" w:before="300"/>
      </w:pPr>
      <w:r>
        <w:rPr>
          <w:rFonts w:ascii="Georgia" w:cs="Georgia" w:eastAsia="Georgia" w:hAnsi="Georgia"/>
          <w:b/>
          <w:bCs/>
          <w:color w:val="0B1B2E"/>
          <w:spacing w:val="20"/>
          <w:sz w:val="24"/>
          <w:szCs w:val="24"/>
        </w:rPr>
        <w:t xml:space="preserve">LA RED Y COLABORACIÓN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Directorio de abogados y contadores verificados: </w:t>
      </w:r>
      <w:r>
        <w:rPr>
          <w:color w:val="1F2A37"/>
          <w:sz w:val="21"/>
          <w:szCs w:val="21"/>
        </w:rPr>
        <w:t xml:space="preserve">conecta al cliente con un profesional de la red (referidos).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Handoff a humano con contexto: </w:t>
      </w:r>
      <w:r>
        <w:rPr>
          <w:color w:val="1F2A37"/>
          <w:sz w:val="21"/>
          <w:szCs w:val="21"/>
        </w:rPr>
        <w:t xml:space="preserve">pasa la conversación al abogado con el resumen ya armado, sin que el cliente repita nada.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Espacio compartido cliente-abogado: </w:t>
      </w:r>
      <w:r>
        <w:rPr>
          <w:color w:val="1F2A37"/>
          <w:sz w:val="21"/>
          <w:szCs w:val="21"/>
        </w:rPr>
        <w:t xml:space="preserve">chat y documentos organizados por caso.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Tracking de referidos y comisiones: </w:t>
      </w:r>
      <w:r>
        <w:rPr>
          <w:color w:val="1F2A37"/>
          <w:sz w:val="21"/>
          <w:szCs w:val="21"/>
        </w:rPr>
        <w:t xml:space="preserve">para los profesionales de la red.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Marca blanca para abogados: </w:t>
      </w:r>
      <w:r>
        <w:rPr>
          <w:color w:val="1F2A37"/>
          <w:sz w:val="21"/>
          <w:szCs w:val="21"/>
        </w:rPr>
        <w:t xml:space="preserve">cada abogado usa la plataforma con su propio branding para sus clientes.</w:t>
      </w:r>
    </w:p>
    <w:p>
      <w:pPr>
        <w:pBdr>
          <w:bottom w:val="single" w:color="C2A15B" w:sz="10" w:space="6"/>
        </w:pBdr>
        <w:spacing w:after="120" w:before="300"/>
      </w:pPr>
      <w:r>
        <w:rPr>
          <w:rFonts w:ascii="Georgia" w:cs="Georgia" w:eastAsia="Georgia" w:hAnsi="Georgia"/>
          <w:b/>
          <w:bCs/>
          <w:color w:val="0B1B2E"/>
          <w:spacing w:val="20"/>
          <w:sz w:val="24"/>
          <w:szCs w:val="24"/>
        </w:rPr>
        <w:t xml:space="preserve">REPORTING Y DASHBOARDS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Informe semanal automático por email: </w:t>
      </w:r>
      <w:r>
        <w:rPr>
          <w:color w:val="1F2A37"/>
          <w:sz w:val="21"/>
          <w:szCs w:val="21"/>
        </w:rPr>
        <w:t xml:space="preserve">mercado, noticias que tocan su patrimonio y recordatorios, cada lunes.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Dashboard patrimonial: </w:t>
      </w:r>
      <w:r>
        <w:rPr>
          <w:color w:val="1F2A37"/>
          <w:sz w:val="21"/>
          <w:szCs w:val="21"/>
        </w:rPr>
        <w:t xml:space="preserve">consolida cuentas, tickers y cripto en una sola vista.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Timeline de vencimientos: </w:t>
      </w:r>
      <w:r>
        <w:rPr>
          <w:color w:val="1F2A37"/>
          <w:sz w:val="21"/>
          <w:szCs w:val="21"/>
        </w:rPr>
        <w:t xml:space="preserve">calendario de obligaciones (renovar W-8BEN, filings) con recordatorios.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Exportación a Excel y PDF de marca: </w:t>
      </w:r>
      <w:r>
        <w:rPr>
          <w:color w:val="1F2A37"/>
          <w:sz w:val="21"/>
          <w:szCs w:val="21"/>
        </w:rPr>
        <w:t xml:space="preserve">todo lo consultado, listo para presentar.</w:t>
      </w:r>
    </w:p>
    <w:p>
      <w:pPr>
        <w:pBdr>
          <w:bottom w:val="single" w:color="C2A15B" w:sz="10" w:space="6"/>
        </w:pBdr>
        <w:spacing w:after="120" w:before="300"/>
      </w:pPr>
      <w:r>
        <w:rPr>
          <w:rFonts w:ascii="Georgia" w:cs="Georgia" w:eastAsia="Georgia" w:hAnsi="Georgia"/>
          <w:b/>
          <w:bCs/>
          <w:color w:val="0B1B2E"/>
          <w:spacing w:val="20"/>
          <w:sz w:val="24"/>
          <w:szCs w:val="24"/>
        </w:rPr>
        <w:t xml:space="preserve">INTEGRACIONES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Asistente por WhatsApp: </w:t>
      </w:r>
      <w:r>
        <w:rPr>
          <w:color w:val="1F2A37"/>
          <w:sz w:val="21"/>
          <w:szCs w:val="21"/>
        </w:rPr>
        <w:t xml:space="preserve">consultar a Brandon desde WhatsApp; ideal para el público de Latinoamérica.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Conexión con el broker: </w:t>
      </w:r>
      <w:r>
        <w:rPr>
          <w:color w:val="1F2A37"/>
          <w:sz w:val="21"/>
          <w:szCs w:val="21"/>
        </w:rPr>
        <w:t xml:space="preserve">Interactive Brokers y otros, para traer posiciones reales.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Google Calendar: </w:t>
      </w:r>
      <w:r>
        <w:rPr>
          <w:color w:val="1F2A37"/>
          <w:sz w:val="21"/>
          <w:szCs w:val="21"/>
        </w:rPr>
        <w:t xml:space="preserve">para vencimientos y reuniones.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API propia: </w:t>
      </w:r>
      <w:r>
        <w:rPr>
          <w:color w:val="1F2A37"/>
          <w:sz w:val="21"/>
          <w:szCs w:val="21"/>
        </w:rPr>
        <w:t xml:space="preserve">para que estudios grandes integren Brandon a sus sistemas.</w:t>
      </w:r>
    </w:p>
    <w:p>
      <w:pPr>
        <w:pBdr>
          <w:bottom w:val="single" w:color="C2A15B" w:sz="10" w:space="6"/>
        </w:pBdr>
        <w:spacing w:after="120" w:before="300"/>
      </w:pPr>
      <w:r>
        <w:rPr>
          <w:rFonts w:ascii="Georgia" w:cs="Georgia" w:eastAsia="Georgia" w:hAnsi="Georgia"/>
          <w:b/>
          <w:bCs/>
          <w:color w:val="0B1B2E"/>
          <w:spacing w:val="20"/>
          <w:sz w:val="24"/>
          <w:szCs w:val="24"/>
        </w:rPr>
        <w:t xml:space="preserve">EXPERIENCIA Y SOPORTE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Prioridad en Chat con Brandon: </w:t>
      </w:r>
      <w:r>
        <w:rPr>
          <w:color w:val="1F2A37"/>
          <w:sz w:val="21"/>
          <w:szCs w:val="21"/>
        </w:rPr>
        <w:t xml:space="preserve">respuesta prioritaria del asesor humano, con SLA; se saltea la cola.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Soporte prioritario 24/7 y onboarding 1-a-1: </w:t>
      </w:r>
      <w:r>
        <w:rPr>
          <w:color w:val="1F2A37"/>
          <w:sz w:val="21"/>
          <w:szCs w:val="21"/>
        </w:rPr>
        <w:t xml:space="preserve">acompañamiento dedicado.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Cuentas familiares / multiusuario: </w:t>
      </w:r>
      <w:r>
        <w:rPr>
          <w:color w:val="1F2A37"/>
          <w:sz w:val="21"/>
          <w:szCs w:val="21"/>
        </w:rPr>
        <w:t xml:space="preserve">varios miembros, roles y patrimonio compartido, para familias y fundaciones.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Contenido exclusivo: </w:t>
      </w:r>
      <w:r>
        <w:rPr>
          <w:color w:val="1F2A37"/>
          <w:sz w:val="21"/>
          <w:szCs w:val="21"/>
        </w:rPr>
        <w:t xml:space="preserve">videos y webinars.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Acceso anticipado: </w:t>
      </w:r>
      <w:r>
        <w:rPr>
          <w:color w:val="1F2A37"/>
          <w:sz w:val="21"/>
          <w:szCs w:val="21"/>
        </w:rPr>
        <w:t xml:space="preserve">a las nuevas funciones antes que el resto.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color w:val="0B1B2E"/>
          <w:sz w:val="21"/>
          <w:szCs w:val="21"/>
        </w:rPr>
        <w:t xml:space="preserve">Seguridad avanzada: </w:t>
      </w:r>
      <w:r>
        <w:rPr>
          <w:color w:val="1F2A37"/>
          <w:sz w:val="21"/>
          <w:szCs w:val="21"/>
        </w:rPr>
        <w:t xml:space="preserve">2FA / passkeys y auditoría de accesos, a nivel patrimonial.</w:t>
      </w:r>
    </w:p>
    <w:p>
      <w:pPr>
        <w:pageBreakBefore/>
        <w:pBdr>
          <w:bottom w:val="single" w:color="C2A15B" w:sz="18" w:space="8"/>
        </w:pBdr>
        <w:spacing w:after="60"/>
      </w:pPr>
      <w:r>
        <w:rPr>
          <w:rFonts w:ascii="Georgia" w:cs="Georgia" w:eastAsia="Georgia" w:hAnsi="Georgia"/>
          <w:b/>
          <w:bCs/>
          <w:color w:val="1F2A37"/>
          <w:sz w:val="30"/>
          <w:szCs w:val="30"/>
        </w:rPr>
        <w:t xml:space="preserve">Planes propuestos</w:t>
      </w:r>
    </w:p>
    <w:p>
      <w:pPr>
        <w:spacing w:after="200"/>
      </w:pPr>
      <w:r>
        <w:rPr>
          <w:i/>
          <w:iCs/>
          <w:color w:val="5B6472"/>
          <w:sz w:val="21"/>
          <w:szCs w:val="21"/>
        </w:rPr>
        <w:t xml:space="preserve">Tres niveles, cada uno incluye todo lo del anterior. Los precios son orientativos y se pueden ajustar. Firm es el plan pensado para abogados y estudios (modelo B2B / marca blanca).</w:t>
      </w:r>
    </w:p>
    <w:p>
      <w:pPr>
        <w:spacing w:after="20" w:before="320"/>
      </w:pPr>
      <w:r>
        <w:rPr>
          <w:rFonts w:ascii="Georgia" w:cs="Georgia" w:eastAsia="Georgia" w:hAnsi="Georgia"/>
          <w:b/>
          <w:bCs/>
          <w:color w:val="0B1B2E"/>
          <w:sz w:val="30"/>
          <w:szCs w:val="30"/>
        </w:rPr>
        <w:t xml:space="preserve">Brandon Starter</w:t>
      </w:r>
    </w:p>
    <w:p>
      <w:pPr>
        <w:spacing w:after="20"/>
      </w:pPr>
      <w:r>
        <w:rPr>
          <w:b/>
          <w:bCs/>
          <w:color w:val="9A7B32"/>
          <w:sz w:val="24"/>
          <w:szCs w:val="24"/>
        </w:rPr>
        <w:t xml:space="preserve">Incluido para clientes</w:t>
      </w:r>
    </w:p>
    <w:p>
      <w:pPr>
        <w:pBdr>
          <w:bottom w:val="single" w:color="C2A15B" w:sz="8" w:space="6"/>
        </w:pBdr>
        <w:spacing w:after="140"/>
      </w:pPr>
      <w:r>
        <w:rPr>
          <w:i/>
          <w:iCs/>
          <w:color w:val="5B6472"/>
          <w:sz w:val="20"/>
          <w:szCs w:val="20"/>
        </w:rPr>
        <w:t xml:space="preserve">La base que ya recibe todo cliente de Brandon Latam.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Asistente de IA (modelo Sonnet), 500 créditos por mes (aprox. 10 consultas).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Noticias del mercado y buscador de empresas.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Chat con Brandon (soporte estándar).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Exportar la conversación a PDF y por email.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Sección de feedback.</w:t>
      </w:r>
    </w:p>
    <w:p>
      <w:pPr>
        <w:spacing w:after="20" w:before="320"/>
      </w:pPr>
      <w:r>
        <w:rPr>
          <w:rFonts w:ascii="Georgia" w:cs="Georgia" w:eastAsia="Georgia" w:hAnsi="Georgia"/>
          <w:b/>
          <w:bCs/>
          <w:color w:val="0B1B2E"/>
          <w:sz w:val="30"/>
          <w:szCs w:val="30"/>
        </w:rPr>
        <w:t xml:space="preserve">Brandon Pro</w:t>
      </w:r>
    </w:p>
    <w:p>
      <w:pPr>
        <w:spacing w:after="20"/>
      </w:pPr>
      <w:r>
        <w:rPr>
          <w:b/>
          <w:bCs/>
          <w:color w:val="9A7B32"/>
          <w:sz w:val="24"/>
          <w:szCs w:val="24"/>
        </w:rPr>
        <w:t xml:space="preserve">Sugerido: US$ 59 / mes (o US$ 590 / año)</w:t>
      </w:r>
    </w:p>
    <w:p>
      <w:pPr>
        <w:pBdr>
          <w:bottom w:val="single" w:color="C2A15B" w:sz="8" w:space="6"/>
        </w:pBdr>
        <w:spacing w:after="140"/>
      </w:pPr>
      <w:r>
        <w:rPr>
          <w:i/>
          <w:iCs/>
          <w:color w:val="5B6472"/>
          <w:sz w:val="20"/>
          <w:szCs w:val="20"/>
        </w:rPr>
        <w:t xml:space="preserve">Para el cliente individual que usa la plataforma en serio.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Todo lo de Starter, más: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Créditos ilimitados y modelo Opus (respuestas más potentes).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Informe semanal automático por email.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Análisis de documentos (subir PDF) y redacción con plantillas legales.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Due diligence en un click y screening de sanciones / OFAC.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Alertas proactivas, watchlist, radar regulatorio y health-check de bancos.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Carpeta fiscal, timeline de vencimientos y calculadoras fiscales.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Memoria del cliente, comparador de escenarios y modo experto por área.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Asistente por WhatsApp y prioridad en Chat con Brandon.</w:t>
      </w:r>
    </w:p>
    <w:p>
      <w:pPr>
        <w:spacing w:after="20" w:before="320"/>
      </w:pPr>
      <w:r>
        <w:rPr>
          <w:rFonts w:ascii="Georgia" w:cs="Georgia" w:eastAsia="Georgia" w:hAnsi="Georgia"/>
          <w:b/>
          <w:bCs/>
          <w:color w:val="0B1B2E"/>
          <w:sz w:val="30"/>
          <w:szCs w:val="30"/>
        </w:rPr>
        <w:t xml:space="preserve">Brandon Firm</w:t>
      </w:r>
    </w:p>
    <w:p>
      <w:pPr>
        <w:spacing w:after="20"/>
      </w:pPr>
      <w:r>
        <w:rPr>
          <w:b/>
          <w:bCs/>
          <w:color w:val="9A7B32"/>
          <w:sz w:val="24"/>
          <w:szCs w:val="24"/>
        </w:rPr>
        <w:t xml:space="preserve">Sugerido: desde US$ 299 / mes (o a medida por asientos)</w:t>
      </w:r>
    </w:p>
    <w:p>
      <w:pPr>
        <w:pBdr>
          <w:bottom w:val="single" w:color="C2A15B" w:sz="8" w:space="6"/>
        </w:pBdr>
        <w:spacing w:after="140"/>
      </w:pPr>
      <w:r>
        <w:rPr>
          <w:i/>
          <w:iCs/>
          <w:color w:val="5B6472"/>
          <w:sz w:val="20"/>
          <w:szCs w:val="20"/>
        </w:rPr>
        <w:t xml:space="preserve">Para abogados y estudios: marca blanca y trabajo con carteras de clientes.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Todo lo de Pro, más: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Marca blanca: la plataforma con el branding del estudio para sus clientes.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Cuentas familiares / multiusuario, con roles y patrimonio compartido.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Directorio y red de referidos, con tracking de comisiones.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Handoff a humano con contexto y espacio compartido cliente-abogado.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Data room seguro, firma electrónica y bóveda cifrada.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Dashboard patrimonial consolidado y reporte anual para el contador.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Integraciones (broker, Google Calendar) y API propia.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Onboarding 1-a-1, gerente de cuenta y soporte 24/7.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color w:val="1F2A37"/>
          <w:sz w:val="20"/>
          <w:szCs w:val="20"/>
        </w:rPr>
        <w:t xml:space="preserve">Seguridad avanzada (2FA / passkeys, auditoría de accesos).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0B1B2E"/>
          <w:spacing w:val="20"/>
          <w:sz w:val="22"/>
          <w:szCs w:val="22"/>
        </w:rPr>
        <w:t xml:space="preserve">RESUMEN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pct" w:w="45%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quién</w:t>
            </w:r>
          </w:p>
        </w:tc>
        <w:tc>
          <w:tcPr>
            <w:tcW w:type="pct" w:w="30%"/>
            <w:shd w:fill="0B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 sugerido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1B2E"/>
                <w:sz w:val="20"/>
                <w:szCs w:val="20"/>
              </w:rPr>
              <w:t xml:space="preserve">Starter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Todo cliente de Brandon Latam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shd w:fill="F7F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1B2E"/>
                <w:sz w:val="20"/>
                <w:szCs w:val="20"/>
              </w:rPr>
              <w:t xml:space="preserve">Pro</w:t>
            </w:r>
          </w:p>
        </w:tc>
        <w:tc>
          <w:tcPr>
            <w:shd w:fill="F7F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Cliente individual que usa la plataforma en serio</w:t>
            </w:r>
          </w:p>
        </w:tc>
        <w:tc>
          <w:tcPr>
            <w:shd w:fill="F7F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US$ 59 / mes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1B2E"/>
                <w:sz w:val="20"/>
                <w:szCs w:val="20"/>
              </w:rPr>
              <w:t xml:space="preserve">Firm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Abogados y estudios (B2B / marca blanca)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A37"/>
                <w:sz w:val="20"/>
                <w:szCs w:val="20"/>
              </w:rPr>
              <w:t xml:space="preserve">Desde US$ 299 / mes</w:t>
            </w:r>
          </w:p>
        </w:tc>
      </w:tr>
    </w:tbl>
    <w:p>
      <w:pPr>
        <w:spacing w:before="160"/>
      </w:pPr>
      <w:r>
        <w:rPr>
          <w:i/>
          <w:iCs/>
          <w:color w:val="5B6472"/>
          <w:sz w:val="18"/>
          <w:szCs w:val="18"/>
        </w:rPr>
        <w:t xml:space="preserve">Precios orientativos. Brandon Latam Network — documento interno.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2026-08-01T20:00:13.393Z</dcterms:created>
  <dcterms:modified xsi:type="dcterms:W3CDTF">2026-08-01T20:00:13.394Z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