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
        <w:jc w:val="center"/>
      </w:pPr>
      <w:r>
        <w:drawing>
          <wp:inline distT="0" distB="0" distL="0" distR="0">
            <wp:extent cx="514350" cy="514350"/>
            <wp:effectExtent t="0" r="0" b="0" l="0"/>
            <wp:docPr id="1" name="logo" descr="Universite logosu"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 cy="514350"/>
                    </a:xfrm>
                    <a:prstGeom prst="rect">
                      <a:avLst/>
                    </a:prstGeom>
                  </pic:spPr>
                </pic:pic>
              </a:graphicData>
            </a:graphic>
          </wp:inline>
        </w:drawing>
      </w:r>
    </w:p>
    <w:p>
      <w:pPr>
        <w:spacing w:after="56"/>
        <w:jc w:val="center"/>
      </w:pPr>
      <w:r>
        <w:rPr>
          <w:rFonts w:ascii="Times New Roman" w:cs="Times New Roman" w:eastAsia="Times New Roman" w:hAnsi="Times New Roman"/>
          <w:b/>
          <w:bCs/>
          <w:color w:val="000000"/>
          <w:sz w:val="23"/>
          <w:szCs w:val="23"/>
        </w:rPr>
        <w:t xml:space="preserve">ANKARA ÜNİVERSİTESİ</w:t>
      </w:r>
    </w:p>
    <w:p>
      <w:pPr>
        <w:spacing w:after="26"/>
        <w:jc w:val="center"/>
      </w:pPr>
      <w:r>
        <w:rPr>
          <w:rFonts w:ascii="Times New Roman" w:cs="Times New Roman" w:eastAsia="Times New Roman" w:hAnsi="Times New Roman"/>
          <w:b/>
          <w:bCs/>
          <w:color w:val="000000"/>
          <w:sz w:val="21"/>
          <w:szCs w:val="21"/>
        </w:rPr>
        <w:t xml:space="preserve">Ezgi SANKIR-21290431   Sultan BACAKOĞLU-22290189</w:t>
      </w:r>
    </w:p>
    <w:p>
      <w:pPr>
        <w:spacing w:after="26"/>
        <w:jc w:val="center"/>
      </w:pPr>
      <w:r>
        <w:rPr>
          <w:rFonts w:ascii="Times New Roman" w:cs="Times New Roman" w:eastAsia="Times New Roman" w:hAnsi="Times New Roman"/>
          <w:color w:val="000000"/>
          <w:sz w:val="21"/>
          <w:szCs w:val="21"/>
        </w:rPr>
        <w:t xml:space="preserve">BLM4510 — Bilgi Teknolojileri Ve Güvenlik Yönetimi Final Projesi</w:t>
      </w:r>
    </w:p>
    <w:p>
      <w:pPr>
        <w:spacing w:after="26"/>
        <w:jc w:val="center"/>
      </w:pPr>
      <w:r>
        <w:rPr>
          <w:rFonts w:ascii="Times New Roman" w:cs="Times New Roman" w:eastAsia="Times New Roman" w:hAnsi="Times New Roman"/>
          <w:b/>
          <w:bCs/>
          <w:color w:val="000000"/>
          <w:sz w:val="21"/>
          <w:szCs w:val="21"/>
        </w:rPr>
        <w:t xml:space="preserve">AES-256 Şifreli LSB Steganografi ve Makine Öğrenmesi Tabanlı Steganaliz Platformu</w:t>
      </w:r>
    </w:p>
    <w:p>
      <w:pPr>
        <w:spacing w:after="84"/>
        <w:jc w:val="center"/>
      </w:pPr>
      <w:r>
        <w:rPr>
          <w:rFonts w:ascii="Times New Roman" w:cs="Times New Roman" w:eastAsia="Times New Roman" w:hAnsi="Times New Roman"/>
          <w:color w:val="000000"/>
          <w:sz w:val="21"/>
          <w:szCs w:val="21"/>
        </w:rPr>
        <w:t xml:space="preserve">17.06.2026</w:t>
      </w:r>
    </w:p>
    <w:p>
      <w:pPr>
        <w:spacing w:after="44" w:before="110"/>
      </w:pPr>
      <w:r>
        <w:rPr>
          <w:rFonts w:ascii="Times New Roman" w:cs="Times New Roman" w:eastAsia="Times New Roman" w:hAnsi="Times New Roman"/>
          <w:b/>
          <w:bCs/>
          <w:color w:val="000000"/>
          <w:sz w:val="23"/>
          <w:szCs w:val="23"/>
        </w:rPr>
        <w:t xml:space="preserve">Projeye Genel Bakış</w:t>
      </w:r>
    </w:p>
    <w:p>
      <w:pPr>
        <w:spacing w:after="64" w:line="242"/>
        <w:jc w:val="both"/>
      </w:pPr>
      <w:r>
        <w:rPr>
          <w:rFonts w:ascii="Times New Roman" w:cs="Times New Roman" w:eastAsia="Times New Roman" w:hAnsi="Times New Roman"/>
          <w:color w:val="000000"/>
          <w:sz w:val="21"/>
          <w:szCs w:val="21"/>
        </w:rPr>
        <w:t xml:space="preserve">Bu projede, bir görselin içine gözle fark edilmeyecek şekilde gizli metin gömen (steganografi) ve bir görselde gizli veri olup olmadığını birden çok yöntemle araştıran (steganaliz) bütünleşik bir güvenlik platformu geliştirilmiştir. Steganografi kriptografiden farklı olarak mesajı yalnızca okunamaz kılmaz, varlığını da gizler; platform bu iki yaklaşımı birleştirir. Yöntem, her pikselin renk değerinin en önemsiz bitinin (LSB – Least Significant Bit) değiştirilmesine dayanır: son bit değiştiğinde renk gözle ayırt edilemez ama o bitlere veri saklanabilir. Gizlenecek mesaj, kullanıcı parolasından PBKDF2 (100.000 tur) ile türetilen anahtarla AES-256-GCM kullanılarak şifrelenir; ardından “STG” imzası, kanal ve bit derinliği bilgisi, SHA-256 bütünlük özeti ve uzunluk alanından oluşan 40 baytlık bir protokol paketi hazırlanır. Bu paketin bitleri sabit bir köşeye değil, sözde-rastgele bir sıra (PRNG) ile görselin tamamına dağıtılarak gömülür; böylece istatistiksel izler tek bölgede toplanmaz ve analize karşı direnç artar. Platform; gizleme (kanal RGB/R/G/B ve bit derinliği LSB-1/2/3 seçilebilir), çözme ve analiz bölümlerinden oluşur. Arayüz tamamen istemci tarafında HTML, CSS ve saf JavaScript (Canvas API, Web Crypto API, Web Workers) ile geliştirilmiş olup hiçbir veri sunucuya gönderilmez. Makine öğrenmesi tabanlı tespit ise Python (Flask) arka ucu üzerinde çalışır.</w:t>
      </w:r>
    </w:p>
    <w:p>
      <w:pPr>
        <w:spacing w:after="44" w:before="110"/>
      </w:pPr>
      <w:r>
        <w:rPr>
          <w:rFonts w:ascii="Times New Roman" w:cs="Times New Roman" w:eastAsia="Times New Roman" w:hAnsi="Times New Roman"/>
          <w:b/>
          <w:bCs/>
          <w:color w:val="000000"/>
          <w:sz w:val="23"/>
          <w:szCs w:val="23"/>
        </w:rPr>
        <w:t xml:space="preserve">Uygulama Adımları</w:t>
      </w:r>
    </w:p>
    <w:p>
      <w:pPr>
        <w:pStyle w:val="ListParagraph"/>
        <w:numPr>
          <w:ilvl w:val="0"/>
          <w:numId w:val="2"/>
        </w:numPr>
        <w:spacing w:after="20" w:line="240"/>
        <w:jc w:val="both"/>
      </w:pPr>
      <w:r>
        <w:rPr>
          <w:rFonts w:ascii="Times New Roman" w:cs="Times New Roman" w:eastAsia="Times New Roman" w:hAnsi="Times New Roman"/>
          <w:color w:val="000000"/>
          <w:sz w:val="21"/>
          <w:szCs w:val="21"/>
        </w:rPr>
        <w:t xml:space="preserve">Taşıyıcı görsel yüklendi; mesaj, kanal (RGB/R/G/B) ve bit derinliği (LSB-1/2/3) seçilerek kapasite çubuğuyla mesajın sığıp sığmadığı denetlendi.</w:t>
      </w:r>
    </w:p>
    <w:p>
      <w:pPr>
        <w:pStyle w:val="ListParagraph"/>
        <w:numPr>
          <w:ilvl w:val="0"/>
          <w:numId w:val="2"/>
        </w:numPr>
        <w:spacing w:after="20" w:line="240"/>
        <w:jc w:val="both"/>
      </w:pPr>
      <w:r>
        <w:rPr>
          <w:rFonts w:ascii="Times New Roman" w:cs="Times New Roman" w:eastAsia="Times New Roman" w:hAnsi="Times New Roman"/>
          <w:color w:val="000000"/>
          <w:sz w:val="21"/>
          <w:szCs w:val="21"/>
        </w:rPr>
        <w:t xml:space="preserve">Mesaj, paroladan PBKDF2 ile türetilen anahtarla AES-256-GCM kullanılarak şifrelendi; her gizlemede rastgele Salt ve IV üretildi. GCM ayrıca bir kimlik doğrulama etiketi (auth tag) ürettiği için yanlış parola çözmede baştan reddedilir.</w:t>
      </w:r>
    </w:p>
    <w:p>
      <w:pPr>
        <w:pStyle w:val="ListParagraph"/>
        <w:numPr>
          <w:ilvl w:val="0"/>
          <w:numId w:val="2"/>
        </w:numPr>
        <w:spacing w:after="20" w:line="240"/>
        <w:jc w:val="both"/>
      </w:pPr>
      <w:r>
        <w:rPr>
          <w:rFonts w:ascii="Times New Roman" w:cs="Times New Roman" w:eastAsia="Times New Roman" w:hAnsi="Times New Roman"/>
          <w:color w:val="000000"/>
          <w:sz w:val="21"/>
          <w:szCs w:val="21"/>
        </w:rPr>
        <w:t xml:space="preserve">“STG” imzası, kanal/derinlik ve SHA-256 bütünlük özeti eklenerek 40 baytlık paket oluşturuldu; bitler PRNG ile görselin tamamına dağıtılarak son bitlere yazıldı ve sonuç kayıpsız PNG olarak indirildi.</w:t>
      </w:r>
    </w:p>
    <w:p>
      <w:pPr>
        <w:pStyle w:val="ListParagraph"/>
        <w:numPr>
          <w:ilvl w:val="0"/>
          <w:numId w:val="2"/>
        </w:numPr>
        <w:spacing w:after="20" w:line="240"/>
        <w:jc w:val="both"/>
      </w:pPr>
      <w:r>
        <w:rPr>
          <w:rFonts w:ascii="Times New Roman" w:cs="Times New Roman" w:eastAsia="Times New Roman" w:hAnsi="Times New Roman"/>
          <w:color w:val="000000"/>
          <w:sz w:val="21"/>
          <w:szCs w:val="21"/>
        </w:rPr>
        <w:t xml:space="preserve">Orijinal ile stego görsel arasındaki piksel farkı haritası ve histogram karşılaştırması üretilerek değişimin görsele homojen yayıldığı görselleştirildi.</w:t>
      </w:r>
    </w:p>
    <w:p>
      <w:pPr>
        <w:pStyle w:val="ListParagraph"/>
        <w:numPr>
          <w:ilvl w:val="0"/>
          <w:numId w:val="2"/>
        </w:numPr>
        <w:spacing w:after="20" w:line="240"/>
        <w:jc w:val="both"/>
      </w:pPr>
      <w:r>
        <w:rPr>
          <w:rFonts w:ascii="Times New Roman" w:cs="Times New Roman" w:eastAsia="Times New Roman" w:hAnsi="Times New Roman"/>
          <w:color w:val="000000"/>
          <w:sz w:val="21"/>
          <w:szCs w:val="21"/>
        </w:rPr>
        <w:t xml:space="preserve">Çözmede kanal ve bit derinliği otomatik tespit edildi, AES-256-GCM ile çözüm yapıldı ve bütünlük SHA-256 ile doğrulandı.</w:t>
      </w:r>
    </w:p>
    <w:p>
      <w:pPr>
        <w:pStyle w:val="ListParagraph"/>
        <w:numPr>
          <w:ilvl w:val="0"/>
          <w:numId w:val="2"/>
        </w:numPr>
        <w:spacing w:after="20" w:line="240"/>
        <w:jc w:val="both"/>
      </w:pPr>
      <w:r>
        <w:rPr>
          <w:rFonts w:ascii="Times New Roman" w:cs="Times New Roman" w:eastAsia="Times New Roman" w:hAnsi="Times New Roman"/>
          <w:color w:val="000000"/>
          <w:sz w:val="21"/>
          <w:szCs w:val="21"/>
        </w:rPr>
        <w:t xml:space="preserve">Analizde dört klasik yöntem çalıştırıldı: Chi-Square (tüm görsel + 64×64 blok), RS (Fridrich), LSB/ısı haritası ve protokol imza taraması.</w:t>
      </w:r>
    </w:p>
    <w:p>
      <w:pPr>
        <w:pStyle w:val="ListParagraph"/>
        <w:numPr>
          <w:ilvl w:val="0"/>
          <w:numId w:val="2"/>
        </w:numPr>
        <w:spacing w:after="20" w:line="240"/>
        <w:jc w:val="both"/>
      </w:pPr>
      <w:r>
        <w:rPr>
          <w:rFonts w:ascii="Times New Roman" w:cs="Times New Roman" w:eastAsia="Times New Roman" w:hAnsi="Times New Roman"/>
          <w:color w:val="000000"/>
          <w:sz w:val="21"/>
          <w:szCs w:val="21"/>
        </w:rPr>
        <w:t xml:space="preserve">Görsel, Python sunucusuna gönderilip Random Forest modeliyle sınıflandırıldı; imza, istatistik ve ML sonuçları tek bir “Nihai Karar” panelinde birleştirildi.</w:t>
      </w:r>
    </w:p>
    <w:p>
      <w:pPr>
        <w:spacing w:after="44" w:before="110"/>
      </w:pPr>
      <w:r>
        <w:rPr>
          <w:rFonts w:ascii="Times New Roman" w:cs="Times New Roman" w:eastAsia="Times New Roman" w:hAnsi="Times New Roman"/>
          <w:b/>
          <w:bCs/>
          <w:color w:val="000000"/>
          <w:sz w:val="23"/>
          <w:szCs w:val="23"/>
        </w:rPr>
        <w:t xml:space="preserve">Makine Öğrenmesi ile Tespit</w:t>
      </w:r>
    </w:p>
    <w:p>
      <w:pPr>
        <w:spacing w:after="64" w:line="242"/>
        <w:jc w:val="both"/>
      </w:pPr>
      <w:r>
        <w:rPr>
          <w:rFonts w:ascii="Times New Roman" w:cs="Times New Roman" w:eastAsia="Times New Roman" w:hAnsi="Times New Roman"/>
          <w:color w:val="000000"/>
          <w:sz w:val="21"/>
          <w:szCs w:val="21"/>
        </w:rPr>
        <w:t xml:space="preserve">Tespit tarafını güçlendirmek için iki makine öğrenmesi çalışması yapılmıştır. </w:t>
      </w:r>
      <w:r>
        <w:rPr>
          <w:rFonts w:ascii="Times New Roman" w:cs="Times New Roman" w:eastAsia="Times New Roman" w:hAnsi="Times New Roman"/>
          <w:b/>
          <w:bCs/>
          <w:color w:val="000000"/>
          <w:sz w:val="21"/>
          <w:szCs w:val="21"/>
        </w:rPr>
        <w:t xml:space="preserve">(1) Literatür modeli —</w:t>
      </w:r>
      <w:r>
        <w:rPr>
          <w:rFonts w:ascii="Times New Roman" w:cs="Times New Roman" w:eastAsia="Times New Roman" w:hAnsi="Times New Roman"/>
          <w:color w:val="000000"/>
          <w:sz w:val="21"/>
          <w:szCs w:val="21"/>
        </w:rPr>
        <w:t xml:space="preserve"> 70.000 görselden çıkarılmış 8 histogram özelliği içeren açık veri seti üzerinde Random Forest, KNN, SVM, MLP ve Naive Bayes karşılaştırılmış; en iyi sonuç Random Forest ile %93 test doğruluğu olmuştur. </w:t>
      </w:r>
      <w:r>
        <w:rPr>
          <w:rFonts w:ascii="Times New Roman" w:cs="Times New Roman" w:eastAsia="Times New Roman" w:hAnsi="Times New Roman"/>
          <w:b/>
          <w:bCs/>
          <w:color w:val="000000"/>
          <w:sz w:val="21"/>
          <w:szCs w:val="21"/>
        </w:rPr>
        <w:t xml:space="preserve">(2) Platform modeli —</w:t>
      </w:r>
      <w:r>
        <w:rPr>
          <w:rFonts w:ascii="Times New Roman" w:cs="Times New Roman" w:eastAsia="Times New Roman" w:hAnsi="Times New Roman"/>
          <w:color w:val="000000"/>
          <w:sz w:val="21"/>
          <w:szCs w:val="21"/>
        </w:rPr>
        <w:t xml:space="preserve"> 180 gerçek görselden temiz ve stego örnekler üretilip, projenin kendi steganaliz özellikleri (Chi-Square olasılığı, RS oranı, LSB entropisi, LSB ortalaması, blok-Chi maksimumu) çıkarılarak Random Forest eğitilmiştir. Modelin güvenilirliği iki açıdan denetlenmiştir: </w:t>
      </w:r>
      <w:r>
        <w:rPr>
          <w:rFonts w:ascii="Times New Roman" w:cs="Times New Roman" w:eastAsia="Times New Roman" w:hAnsi="Times New Roman"/>
          <w:b/>
          <w:bCs/>
          <w:color w:val="000000"/>
          <w:sz w:val="21"/>
          <w:szCs w:val="21"/>
        </w:rPr>
        <w:t xml:space="preserve">veri sızıntısı (data leakage)</w:t>
      </w:r>
      <w:r>
        <w:rPr>
          <w:rFonts w:ascii="Times New Roman" w:cs="Times New Roman" w:eastAsia="Times New Roman" w:hAnsi="Times New Roman"/>
          <w:color w:val="000000"/>
          <w:sz w:val="21"/>
          <w:szCs w:val="21"/>
        </w:rPr>
        <w:t xml:space="preserve"> için aynı kapağın temiz ve stego sürümleri aynı tarafta tutulmuş (GroupKFold), rastgele bölme (%82) ile gruplu bölmenin (%83) yakınlığı sızıntı olmadığını göstermiştir; </w:t>
      </w:r>
      <w:r>
        <w:rPr>
          <w:rFonts w:ascii="Times New Roman" w:cs="Times New Roman" w:eastAsia="Times New Roman" w:hAnsi="Times New Roman"/>
          <w:b/>
          <w:bCs/>
          <w:color w:val="000000"/>
          <w:sz w:val="21"/>
          <w:szCs w:val="21"/>
        </w:rPr>
        <w:t xml:space="preserve">aşırı öğrenme (overfitting)</w:t>
      </w:r>
      <w:r>
        <w:rPr>
          <w:rFonts w:ascii="Times New Roman" w:cs="Times New Roman" w:eastAsia="Times New Roman" w:hAnsi="Times New Roman"/>
          <w:color w:val="000000"/>
          <w:sz w:val="21"/>
          <w:szCs w:val="21"/>
        </w:rPr>
        <w:t xml:space="preserve"> için eğitim (%92) ve test (%84) doğrulukları karşılaştırılıp regülarizasyonla fark düşürülmüştür. Çapraz doğrulama doğruluğu %86, en belirleyici özellikler LSB entropisi (~%45) ve LSB ortalamasıdır (~%34). Model arka planda çalışıp görselleri canlı sınıflandırır.</w:t>
      </w:r>
    </w:p>
    <w:p>
      <w:pPr>
        <w:spacing w:after="44" w:before="110"/>
      </w:pPr>
      <w:r>
        <w:rPr>
          <w:rFonts w:ascii="Times New Roman" w:cs="Times New Roman" w:eastAsia="Times New Roman" w:hAnsi="Times New Roman"/>
          <w:b/>
          <w:bCs/>
          <w:color w:val="000000"/>
          <w:sz w:val="23"/>
          <w:szCs w:val="23"/>
        </w:rPr>
        <w:t xml:space="preserve">Sonuç</w:t>
      </w:r>
    </w:p>
    <w:p>
      <w:pPr>
        <w:spacing w:after="64" w:line="242"/>
        <w:jc w:val="both"/>
      </w:pPr>
      <w:r>
        <w:rPr>
          <w:rFonts w:ascii="Times New Roman" w:cs="Times New Roman" w:eastAsia="Times New Roman" w:hAnsi="Times New Roman"/>
          <w:color w:val="000000"/>
          <w:sz w:val="21"/>
          <w:szCs w:val="21"/>
        </w:rPr>
        <w:t xml:space="preserve">Proje sonunda; LSB steganografi, AES-256-GCM şifreleme, PRNG ile dağıtık gömme, SHA-256 bütünlük kontrolü, dört klasik steganaliz yöntemi ve makine öğrenmesi tabanlı tespiti bir arada sunan çalışır bir platform elde edilmiştir. İstatistiksel yöntemlerin (Chi-Square, RS) küçük mesajları kaçırabildiği, buna karşın protokol imza taramasının gizli veriyi mesaj boyutundan bağımsız kesin yakaladığı, makine öğrenmesi modelinin ise yabancı araçlarla gömülmüş verileri de tespit edebildiği gözlemlenmiştir. Üç yaklaşımın tek nihai kararda birleştirilmesiyle bütünleşik ve güvenilir bir sonuç üretilmiş; çalışma, steganografinin yalnızca veri saklamaktan ibaret olmadığını ve farklı tespit yöntemlerinin birbirini tamamladığını göstermiştir.</w:t>
      </w:r>
    </w:p>
    <w:sectPr>
      <w:pgSz w:w="11906" w:h="16838" w:orient="portrait"/>
      <w:pgMar w:top="600" w:right="1060" w:bottom="480" w:left="10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0" w:hanging="25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a505000fb934fd32782831e8757df81ce1420e8.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2026-06-15T11:11:17.596Z</dcterms:created>
  <dcterms:modified xsi:type="dcterms:W3CDTF">2026-06-15T11:11:17.597Z</dcterms:modified>
</cp:coreProperties>
</file>

<file path=docProps/custom.xml><?xml version="1.0" encoding="utf-8"?>
<Properties xmlns="http://schemas.openxmlformats.org/officeDocument/2006/custom-properties" xmlns:vt="http://schemas.openxmlformats.org/officeDocument/2006/docPropsVTypes"/>
</file>