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（科技型）中小企业成长性评价模型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从六个维度出发对企业进行评价，包 括技术创新能力、盈利能力、发展潜力、管理能力、营运效率、企业信用风险。（六维）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这些是六维里面的，可能有这些属性，编程的时候可以先写着，到时候改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专利（%）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博士研究生占比（%）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企业财务情况（%）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三月内盈利状况（%）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固定资产情况（%）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其它方面（%）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百分比通过后面建模计算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269811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代码先写六维，下面的属性先不管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bookmarkEnd w:id="0"/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建模方法介绍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第一部分：基础模型</w:t>
      </w:r>
      <w:r>
        <w:rPr>
          <w:rFonts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。成长性评价模型的基础为 </w:t>
      </w: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GBRT 算法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，其它两大模 块在此基础上建立。GBRT 算法具有精度高，泛化能力强，能处理非线性数据，</w:t>
      </w:r>
      <w:r>
        <w:rPr>
          <w:rFonts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能处理多特征类型，对数据的清洁程度要求相对较低等优点，非常适合成长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性评价模型的需求和数据环境。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1609090"/>
            <wp:effectExtent l="0" t="0" r="698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第二部分：集成学习模块</w:t>
      </w:r>
      <w:r>
        <w:rPr>
          <w:rFonts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。集成学习模块采用 stacking 算法，进一步提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升模型的精度，稳定性及泛化能力。在有标记样本的数量较少的情况下，可能同时存在多个模型在训练集上具有良好的表现，并且表现相对较差的模型在实际使用时，可能相对训练集上表现更好的模型具有更高的精度。同时，样本量较小的情况下，模型也更容易受极端值，异常点等影响。通过集成学习，综合多个模型的预测结果，让模型的预测能力更为稳定可靠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第三部分：半监督学习模块</w:t>
      </w:r>
      <w:r>
        <w:rPr>
          <w:rFonts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。半监督学习模块采用 Tri-training 算法，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充分利用未标记样本的信息。传统建模方法训练模型不使用未标记样本，但实际上，未标记样本中同样存在大量信息可用于训练模型，半监督学习可以充分利用这些信息，进一步保障模型性能。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以 GBRT 为基模型，在数据规模和质量提升后，可以采用多种技术手段进一步提升模型的预测能力和稳定性。可以从以下两个角度出发：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半监督学习——半监督学习可以充分利用未标记样本信息，提升模型预测能力。如协同训练(Co-train)，其基本原理是首先基于训练集产生两个不同的模型（如 GBRT 和神经网络），两个模型同时对测试集进行预测，比较预测结果，挑选预测结果最可信的样本，将预测结果作为该样本的标签，添加进训练集，根据扩大后的训练集训练出新的模型，然后重复此过程。集成学习——集成学习可以通过集成多个模型提升模型性能。如 stacking模型，其基本原理是基于训练集训练出多个模型，将每个模型的输出作为输入，训练出一个新的模型，新模型的输出作为模型整体的输出。通过这一过程可以让多个模型互相修正，使模型的预测结果更稳定可靠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在模型构建过程中，采用 10 折交叉验证检验模型预测性能，即每次抽取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十分之九的样本进行建模，对余下的十分之一的样本进行预测，观察预测效果，重复十次。验证结果如下，mae(mean absolute error)代表平均绝对误差，test-mae-mean 与 test-mae-std 分别代表十次交叉验证获得的 mae 的均 值与标准差。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5OTYwMDJjYWQ3ZTkxOTE2ZjY4MzU5NGU3MjY1ZmEifQ=="/>
  </w:docVars>
  <w:rsids>
    <w:rsidRoot w:val="00000000"/>
    <w:rsid w:val="2485056A"/>
    <w:rsid w:val="5F89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1002</Words>
  <Characters>1123</Characters>
  <Lines>0</Lines>
  <Paragraphs>0</Paragraphs>
  <TotalTime>3</TotalTime>
  <ScaleCrop>false</ScaleCrop>
  <LinksUpToDate>false</LinksUpToDate>
  <CharactersWithSpaces>1150</CharactersWithSpaces>
  <Application>WPS Office_11.1.0.12759_F1E327BC-269C-435d-A152-05C5408002CA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2022-10-31T11:16:00Z</dcterms:created>
  <dc:creator>Administrator</dc:creator>
  <cp:lastModifiedBy>最难不过现在.浚</cp:lastModifiedBy>
  <dcterms:modified xsi:type="dcterms:W3CDTF">2022-10-31T11:59:20Z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2052-11.1.0.12759</vt:lpwstr>
  </property>
  <property fmtid="{D5CDD505-2E9C-101B-9397-08002B2CF9AE}" pid="3" name="ICV">
    <vt:lpwstr>B8B427511473442B9BD90C718FF5B904</vt:lpwstr>
  </property>
</Properties>
</file>