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t>Actualización de la API de proveedores</w:t>
      </w:r>
    </w:p>
    <w:p>
      <w:r>
        <w:rPr>
          <w:b/>
        </w:rPr>
        <w:t xml:space="preserve">Objetivo. </w:t>
      </w:r>
      <w:r>
        <w:t>Actualizar la integración que crea y modifica proveedores para enviar los nuevos campos aceptados por SPEED. Los mismos campos deben enviarse tanto en creación como en actualización.</w:t>
      </w:r>
    </w:p>
    <w:p>
      <w:pPr>
        <w:pStyle w:val="Heading1"/>
      </w:pPr>
      <w:r>
        <w:t>Nuevos campos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247"/>
            <w:shd w:fill="1F4E7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54"/>
            <w:shd w:fill="1F4E7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417"/>
            <w:shd w:fill="1F4E7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Envío</w:t>
            </w:r>
          </w:p>
        </w:tc>
        <w:tc>
          <w:tcPr>
            <w:tcW w:type="dxa" w:w="3402"/>
            <w:shd w:fill="1F4E7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1701"/>
            <w:shd w:fill="1F4E7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Destino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PRMAIL</w:t>
            </w:r>
          </w:p>
        </w:tc>
        <w:tc>
          <w:tcPr>
            <w:tcW w:type="dxa" w:w="215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Correo electrónico</w:t>
            </w:r>
          </w:p>
        </w:tc>
        <w:tc>
          <w:tcPr>
            <w:tcW w:type="dxa" w:w="141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Opcional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Máximo 40 caracteres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TPROV.PRMAIL</w:t>
            </w:r>
          </w:p>
        </w:tc>
      </w:tr>
      <w:tr>
        <w:tc>
          <w:tcPr>
            <w:tcW w:type="dxa" w:w="1247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PROTIP</w:t>
            </w:r>
          </w:p>
        </w:tc>
        <w:tc>
          <w:tcPr>
            <w:tcW w:type="dxa" w:w="2154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Tipo de proveedor</w:t>
            </w:r>
          </w:p>
        </w:tc>
        <w:tc>
          <w:tcPr>
            <w:tcW w:type="dxa" w:w="1417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Obligatorio</w:t>
            </w:r>
          </w:p>
        </w:tc>
        <w:tc>
          <w:tcPr>
            <w:tcW w:type="dxa" w:w="3402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PJ, NI o ND</w:t>
            </w:r>
          </w:p>
        </w:tc>
        <w:tc>
          <w:tcPr>
            <w:tcW w:type="dxa" w:w="1701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TPROV.PROTIP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PATIDE</w:t>
            </w:r>
          </w:p>
        </w:tc>
        <w:tc>
          <w:tcPr>
            <w:tcW w:type="dxa" w:w="215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Tipo de documento</w:t>
            </w:r>
          </w:p>
        </w:tc>
        <w:tc>
          <w:tcPr>
            <w:tcW w:type="dxa" w:w="141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Condicional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RU, DN, CE u OD; enviar junto con PANIDE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TPROA.PATIDE</w:t>
            </w:r>
          </w:p>
        </w:tc>
      </w:tr>
      <w:tr>
        <w:tc>
          <w:tcPr>
            <w:tcW w:type="dxa" w:w="1247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PANIDE</w:t>
            </w:r>
          </w:p>
        </w:tc>
        <w:tc>
          <w:tcPr>
            <w:tcW w:type="dxa" w:w="2154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Número de documento</w:t>
            </w:r>
          </w:p>
        </w:tc>
        <w:tc>
          <w:tcPr>
            <w:tcW w:type="dxa" w:w="1417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Condicional</w:t>
            </w:r>
          </w:p>
        </w:tc>
        <w:tc>
          <w:tcPr>
            <w:tcW w:type="dxa" w:w="3402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Máximo 15 caracteres; enviar junto con PATIDE</w:t>
            </w:r>
          </w:p>
        </w:tc>
        <w:tc>
          <w:tcPr>
            <w:tcW w:type="dxa" w:w="1701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TPROA.PANIDE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000000"/>
                <w:sz w:val="17"/>
              </w:rPr>
              <w:t>PAUBIG</w:t>
            </w:r>
          </w:p>
        </w:tc>
        <w:tc>
          <w:tcPr>
            <w:tcW w:type="dxa" w:w="215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Código de ubigeo</w:t>
            </w:r>
          </w:p>
        </w:tc>
        <w:tc>
          <w:tcPr>
            <w:tcW w:type="dxa" w:w="141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Opcional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Exactamente 6 dígitos cuando se envía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TPROA.PAUBIG</w:t>
            </w:r>
          </w:p>
        </w:tc>
      </w:tr>
    </w:tbl>
    <w:p>
      <w:pPr>
        <w:pStyle w:val="Heading1"/>
      </w:pPr>
      <w:r>
        <w:t>Valores permitidos para PROTIP</w:t>
      </w:r>
    </w:p>
    <w:p>
      <w:pPr>
        <w:pStyle w:val="ListBullet"/>
      </w:pPr>
      <w:r>
        <w:rPr>
          <w:b/>
        </w:rPr>
        <w:t xml:space="preserve">PJ: </w:t>
      </w:r>
      <w:r>
        <w:t>Persona Jurídica, normalmente una empresa con RUC iniciado en 20.</w:t>
      </w:r>
    </w:p>
    <w:p>
      <w:pPr>
        <w:pStyle w:val="ListBullet"/>
      </w:pPr>
      <w:r>
        <w:rPr>
          <w:b/>
        </w:rPr>
        <w:t xml:space="preserve">NI: </w:t>
      </w:r>
      <w:r>
        <w:t>Persona Natural o Individual, normalmente una persona con RUC iniciado en 10.</w:t>
      </w:r>
    </w:p>
    <w:p>
      <w:pPr>
        <w:pStyle w:val="ListBullet"/>
      </w:pPr>
      <w:r>
        <w:rPr>
          <w:b/>
        </w:rPr>
        <w:t xml:space="preserve">ND: </w:t>
      </w:r>
      <w:r>
        <w:t>Proveedor no domiciliado o extranjero.</w:t>
      </w:r>
    </w:p>
    <w:p>
      <w:r>
        <w:rPr>
          <w:b/>
        </w:rPr>
        <w:t xml:space="preserve">Importante. </w:t>
      </w:r>
      <w:r>
        <w:t>PROTIP siempre debe enviarse. Si falta o tiene otro valor, la API responde HTTP 400.</w:t>
      </w:r>
    </w:p>
    <w:p>
      <w:pPr>
        <w:pStyle w:val="Heading1"/>
      </w:pPr>
      <w:r>
        <w:t>Reglas de validación</w:t>
      </w:r>
    </w:p>
    <w:p>
      <w:pPr>
        <w:pStyle w:val="ListBullet"/>
      </w:pPr>
      <w:r>
        <w:t>PATIDE y PANIDE deben enviarse juntos. No se acepta solamente uno de los dos.</w:t>
      </w:r>
    </w:p>
    <w:p>
      <w:pPr>
        <w:pStyle w:val="ListBullet"/>
      </w:pPr>
      <w:r>
        <w:t>PAUBIG, cuando tenga valor, debe contener exactamente seis dígitos.</w:t>
      </w:r>
    </w:p>
    <w:p>
      <w:pPr>
        <w:pStyle w:val="ListBullet"/>
      </w:pPr>
      <w:r>
        <w:t>PRMAIL admite hasta 40 caracteres.</w:t>
      </w:r>
    </w:p>
    <w:p>
      <w:pPr>
        <w:pStyle w:val="ListBullet"/>
      </w:pPr>
      <w:r>
        <w:t>Los códigos enviados en PROTIP y PATIDE deben ir en mayúsculas; la API también los normaliza.</w:t>
      </w:r>
    </w:p>
    <w:p>
      <w:pPr>
        <w:pStyle w:val="ListBullet"/>
      </w:pPr>
      <w:r>
        <w:t>La actualización reemplaza todos los campos del proveedor incluidos en el payload, no solamente el nombre y la situación.</w:t>
      </w:r>
    </w:p>
    <w:p>
      <w:r>
        <w:br w:type="page"/>
      </w:r>
    </w:p>
    <w:p>
      <w:pPr>
        <w:pStyle w:val="Heading1"/>
      </w:pPr>
      <w:r>
        <w:t>Ejemplo de payload</w:t>
      </w:r>
    </w:p>
    <w:p>
      <w:r>
        <w:t>Usar esta misma estructura en POST api RegistroProveedores create y POST api RegistroProveedores update. En actualización, PROCVE identifica al proveedor existente.</w:t>
      </w:r>
    </w:p>
    <w:p>
      <w:pPr>
        <w:spacing w:before="80" w:after="160" w:line="240" w:lineRule="auto"/>
        <w:ind w:left="227" w:right="227"/>
        <w:shd w:fill="F3F5F7"/>
      </w:pPr>
      <w:r>
        <w:rPr>
          <w:rFonts w:ascii="Consolas" w:hAnsi="Consolas"/>
          <w:sz w:val="16"/>
        </w:rPr>
        <w:t>{</w:t>
        <w:br/>
        <w:t xml:space="preserve">  "procve": "P0000039",</w:t>
        <w:br/>
        <w:t xml:space="preserve">  "pronom": "CRIFUN SOCIEDAD ANONIMA CERRADA",</w:t>
        <w:br/>
        <w:t xml:space="preserve">  "prodir": "CAL. 8 MZA. B5 LOTE 10",</w:t>
        <w:br/>
        <w:t xml:space="preserve">  "procpo": "070106",</w:t>
        <w:br/>
        <w:t xml:space="preserve">  "prodis": "Ventanilla",</w:t>
        <w:br/>
        <w:t xml:space="preserve">  "propro": "Callao",</w:t>
        <w:br/>
        <w:t xml:space="preserve">  "prodpt": "Callao",</w:t>
        <w:br/>
        <w:t xml:space="preserve">  "propai": "Perú",</w:t>
        <w:br/>
        <w:t xml:space="preserve">  "proruc": "20509841170",</w:t>
        <w:br/>
        <w:t xml:space="preserve">  "prmail": "proveedor@empresa.com",</w:t>
        <w:br/>
        <w:t xml:space="preserve">  "protip": "PJ",</w:t>
        <w:br/>
        <w:t xml:space="preserve">  "patide": "RU",</w:t>
        <w:br/>
        <w:t xml:space="preserve">  "panide": "20509841170",</w:t>
        <w:br/>
        <w:t xml:space="preserve">  "paubig": "070106",</w:t>
        <w:br/>
        <w:t xml:space="preserve">  "prosit": "01",</w:t>
        <w:br/>
        <w:t xml:space="preserve">  "prorf1": "N",</w:t>
        <w:br/>
        <w:t xml:space="preserve">  "proare": "N",</w:t>
        <w:br/>
        <w:t xml:space="preserve">  "cpacve": "001"</w:t>
        <w:br/>
        <w:t>}</w:t>
      </w:r>
    </w:p>
    <w:p>
      <w:pPr>
        <w:pStyle w:val="Heading1"/>
      </w:pPr>
      <w:r>
        <w:t>Campos que ya existían</w:t>
      </w:r>
    </w:p>
    <w:p>
      <w:r>
        <w:t>Se mantienen PROCVE, PRONOM, PRODIR, PROCPO, PRODIS, PROPRO, PRODPT, PROPAI, PRORUC, PROSIT, PRORF1, PROARE y CPACVE. Las validaciones existentes continúan vigentes: PROSIT acepta 01, 02 o 99; PRORF1 y PROARE aceptan S o N.</w:t>
      </w:r>
    </w:p>
    <w:p>
      <w:pPr>
        <w:pStyle w:val="Heading1"/>
      </w:pPr>
      <w:r>
        <w:t>Respuesta esperada</w:t>
      </w:r>
    </w:p>
    <w:p>
      <w:r>
        <w:t>Cuando la operación finaliza correctamente, la API responde con código HTTP 200 y el mensaje Proveedor registrado correctamente o Proveedor actualizado correctamente, según el endpoint usado.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de la API de proveedores</dc:title>
  <dc:subject>Nuevos campos para creación y actualización de proveedores</dc:subject>
  <dc:creator>Equipo de integración Odoo SPEED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