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"http://vis.ecowest.org/interactive/wildfires.php"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http://vis.ecowest.org/interactive/wildfires.php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"https://www.epa.gov/climate-indicators/climate-change-indicators-wildfires"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https://www.epa.gov/climate-indicators/climate-change-indicators-wildfires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"https://experience.arcgis.com/experience/da5c827bd3714267b847563ca52d7320/page/PIM/"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https://experience.arcgis.com/experience/da5c827bd3714267b847563ca52d7320/page/PIM/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"https://ourworldindata.org/natural-disasters"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https://ourworldindata.org/natural-disasters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kZGI4ZTU4MjlmNmI5MDgxMzBhMmE1MWVkMWRlNWEifQ=="/>
  </w:docVars>
  <w:rsids>
    <w:rsidRoot w:val="00000000"/>
    <w:rsid w:val="732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48</Characters>
  <Lines>0</Lines>
  <Paragraphs>0</Paragraphs>
  <TotalTime>12</TotalTime>
  <ScaleCrop>false</ScaleCrop>
  <LinksUpToDate>false</LinksUpToDate>
  <CharactersWithSpaces>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2023-03-16T02:47:49Z</dcterms:created>
  <dc:creator>ezio</dc:creator>
  <cp:lastModifiedBy>Ezioy</cp:lastModifiedBy>
  <dcterms:modified xsi:type="dcterms:W3CDTF">2023-03-16T03:00:15Z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FFD10B741EA84BA0A0161B7DE07E0F57</vt:lpwstr>
  </property>
</Properties>
</file>